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580E" w14:textId="77777777" w:rsidR="005D4CD4" w:rsidRPr="00B90A7C" w:rsidRDefault="005D4CD4" w:rsidP="00582700">
      <w:pPr>
        <w:pStyle w:val="Nadpis1"/>
        <w:keepNext/>
        <w:shd w:val="clear" w:color="auto" w:fill="C3E7F5"/>
        <w:spacing w:after="240" w:line="280" w:lineRule="atLeast"/>
        <w:jc w:val="center"/>
        <w:rPr>
          <w:color w:val="auto"/>
          <w:sz w:val="28"/>
          <w:szCs w:val="28"/>
        </w:rPr>
      </w:pPr>
      <w:bookmarkStart w:id="0" w:name="_Toc338252199"/>
      <w:r w:rsidRPr="00B90A7C">
        <w:rPr>
          <w:color w:val="auto"/>
          <w:sz w:val="28"/>
          <w:szCs w:val="28"/>
        </w:rPr>
        <w:t>Obchodní podmínky</w:t>
      </w:r>
      <w:bookmarkEnd w:id="0"/>
    </w:p>
    <w:p w14:paraId="20E0EB22" w14:textId="77777777" w:rsidR="00450AC2" w:rsidRPr="00B90A7C" w:rsidRDefault="00450AC2" w:rsidP="00D71CDE">
      <w:pPr>
        <w:pStyle w:val="Nadpis2"/>
        <w:spacing w:before="240" w:after="120"/>
        <w:rPr>
          <w:color w:val="auto"/>
        </w:rPr>
      </w:pPr>
      <w:bookmarkStart w:id="1" w:name="_Toc363974225"/>
      <w:bookmarkStart w:id="2" w:name="_Toc366583533"/>
      <w:bookmarkStart w:id="3" w:name="_Toc367545199"/>
      <w:bookmarkStart w:id="4" w:name="_Toc372344921"/>
      <w:bookmarkStart w:id="5" w:name="_Toc372948307"/>
      <w:bookmarkStart w:id="6" w:name="_Toc374193271"/>
      <w:bookmarkStart w:id="7" w:name="_Toc374330776"/>
      <w:bookmarkStart w:id="8" w:name="_Toc374331678"/>
      <w:bookmarkStart w:id="9" w:name="_Toc375639439"/>
      <w:bookmarkStart w:id="10" w:name="_Toc388320464"/>
      <w:bookmarkStart w:id="11" w:name="_Toc32627433"/>
      <w:r w:rsidRPr="00B90A7C">
        <w:rPr>
          <w:color w:val="auto"/>
        </w:rPr>
        <w:t>Majetkové pojištění</w:t>
      </w:r>
    </w:p>
    <w:p w14:paraId="6FA92E59" w14:textId="77777777" w:rsidR="00450AC2" w:rsidRPr="002031B5" w:rsidRDefault="00450AC2" w:rsidP="002031B5">
      <w:pPr>
        <w:pStyle w:val="Odstavecseseznamem"/>
        <w:numPr>
          <w:ilvl w:val="0"/>
          <w:numId w:val="17"/>
        </w:numPr>
        <w:spacing w:after="120" w:line="280" w:lineRule="atLeast"/>
        <w:ind w:left="227" w:firstLine="0"/>
        <w:rPr>
          <w:rFonts w:cs="Arial"/>
          <w:b/>
          <w:sz w:val="20"/>
          <w:szCs w:val="20"/>
        </w:rPr>
      </w:pPr>
      <w:r w:rsidRPr="002031B5">
        <w:rPr>
          <w:rFonts w:cs="Arial"/>
          <w:b/>
          <w:sz w:val="20"/>
          <w:szCs w:val="20"/>
        </w:rPr>
        <w:t>Automatické pojištění nového majetku</w:t>
      </w:r>
    </w:p>
    <w:p w14:paraId="4863F29C" w14:textId="3A7A0C44" w:rsidR="00450AC2" w:rsidRPr="00B90A7C" w:rsidRDefault="00450AC2" w:rsidP="00A473EA">
      <w:pPr>
        <w:spacing w:after="120" w:line="280" w:lineRule="atLeast"/>
        <w:ind w:left="227"/>
        <w:rPr>
          <w:rFonts w:cs="Arial"/>
          <w:sz w:val="20"/>
          <w:szCs w:val="20"/>
        </w:rPr>
      </w:pPr>
      <w:r w:rsidRPr="000B13F1">
        <w:rPr>
          <w:rFonts w:cs="Arial"/>
          <w:sz w:val="20"/>
          <w:szCs w:val="20"/>
        </w:rPr>
        <w:t xml:space="preserve">Ujednává se, že veškerý nový majetek, který pojištěný nabude v průběhu pojistného období, je automaticky zahrnut do pojištění. Zvýší-li se tím pojistná částka o méně než </w:t>
      </w:r>
      <w:proofErr w:type="gramStart"/>
      <w:r w:rsidRPr="000B13F1">
        <w:rPr>
          <w:rFonts w:cs="Arial"/>
          <w:sz w:val="20"/>
          <w:szCs w:val="20"/>
        </w:rPr>
        <w:t>10%</w:t>
      </w:r>
      <w:proofErr w:type="gramEnd"/>
      <w:r w:rsidRPr="000B13F1">
        <w:rPr>
          <w:rFonts w:cs="Arial"/>
          <w:sz w:val="20"/>
          <w:szCs w:val="20"/>
        </w:rPr>
        <w:t xml:space="preserve">, </w:t>
      </w:r>
      <w:r w:rsidR="000B13F1" w:rsidRPr="000B13F1">
        <w:rPr>
          <w:rFonts w:cs="Arial"/>
          <w:sz w:val="20"/>
          <w:szCs w:val="20"/>
        </w:rPr>
        <w:t xml:space="preserve">avšak </w:t>
      </w:r>
      <w:r w:rsidR="002031B5">
        <w:rPr>
          <w:rFonts w:cs="Arial"/>
          <w:sz w:val="20"/>
          <w:szCs w:val="20"/>
        </w:rPr>
        <w:br/>
      </w:r>
      <w:r w:rsidR="000B13F1" w:rsidRPr="000B13F1">
        <w:rPr>
          <w:rFonts w:cs="Arial"/>
          <w:sz w:val="20"/>
          <w:szCs w:val="20"/>
        </w:rPr>
        <w:t>max.</w:t>
      </w:r>
      <w:r w:rsidR="007804DF">
        <w:rPr>
          <w:rFonts w:cs="Arial"/>
          <w:sz w:val="20"/>
          <w:szCs w:val="20"/>
        </w:rPr>
        <w:t xml:space="preserve"> </w:t>
      </w:r>
      <w:r w:rsidR="005E554C">
        <w:rPr>
          <w:rFonts w:cs="Arial"/>
          <w:sz w:val="20"/>
          <w:szCs w:val="20"/>
        </w:rPr>
        <w:t xml:space="preserve">o </w:t>
      </w:r>
      <w:r w:rsidR="006B3A44">
        <w:rPr>
          <w:rFonts w:cs="Arial"/>
          <w:sz w:val="20"/>
          <w:szCs w:val="20"/>
        </w:rPr>
        <w:t>5</w:t>
      </w:r>
      <w:r w:rsidR="000B13F1" w:rsidRPr="000B13F1">
        <w:rPr>
          <w:rFonts w:cs="Arial"/>
          <w:sz w:val="20"/>
          <w:szCs w:val="20"/>
        </w:rPr>
        <w:t>00 000 000 Kč</w:t>
      </w:r>
      <w:r w:rsidR="001C237D">
        <w:rPr>
          <w:rFonts w:cs="Arial"/>
          <w:sz w:val="20"/>
          <w:szCs w:val="20"/>
        </w:rPr>
        <w:t>,</w:t>
      </w:r>
      <w:r w:rsidR="000B13F1" w:rsidRPr="000B13F1">
        <w:rPr>
          <w:rFonts w:cs="Arial"/>
          <w:sz w:val="20"/>
          <w:szCs w:val="20"/>
        </w:rPr>
        <w:t xml:space="preserve"> </w:t>
      </w:r>
      <w:r w:rsidRPr="000B13F1">
        <w:rPr>
          <w:rFonts w:cs="Arial"/>
          <w:sz w:val="20"/>
          <w:szCs w:val="20"/>
        </w:rPr>
        <w:t xml:space="preserve">nebude pojistitel požadovat doplatek pojistného. Pojištěný je povinen oznámit navýšení pojistných částek, pokud dojde ke zvýšení hodnoty pojištěných věcí v průběhu pojistného období o více než </w:t>
      </w:r>
      <w:r w:rsidR="006B3A44">
        <w:rPr>
          <w:rFonts w:cs="Arial"/>
          <w:sz w:val="20"/>
          <w:szCs w:val="20"/>
        </w:rPr>
        <w:t>5</w:t>
      </w:r>
      <w:r w:rsidR="000B13F1" w:rsidRPr="000B13F1">
        <w:rPr>
          <w:rFonts w:cs="Arial"/>
          <w:sz w:val="20"/>
          <w:szCs w:val="20"/>
        </w:rPr>
        <w:t>00 000 000 Kč</w:t>
      </w:r>
      <w:r w:rsidRPr="000B13F1">
        <w:rPr>
          <w:rFonts w:cs="Arial"/>
          <w:sz w:val="20"/>
          <w:szCs w:val="20"/>
        </w:rPr>
        <w:t>. Pojistitel se zavazuje účtovat dodatečné pojistné vypočtené pojistnou sazbou použitou pro výpočet pojistného uvedeného v pojistné smlouvě.</w:t>
      </w:r>
    </w:p>
    <w:p w14:paraId="3D5F2243" w14:textId="77777777" w:rsidR="00450AC2" w:rsidRPr="002031B5" w:rsidRDefault="00450AC2" w:rsidP="002031B5">
      <w:pPr>
        <w:pStyle w:val="Odstavecseseznamem"/>
        <w:numPr>
          <w:ilvl w:val="0"/>
          <w:numId w:val="17"/>
        </w:numPr>
        <w:spacing w:after="120" w:line="280" w:lineRule="atLeast"/>
        <w:ind w:left="227" w:firstLine="0"/>
        <w:rPr>
          <w:rFonts w:cs="Arial"/>
          <w:b/>
          <w:sz w:val="20"/>
          <w:szCs w:val="20"/>
        </w:rPr>
      </w:pPr>
      <w:r w:rsidRPr="002031B5">
        <w:rPr>
          <w:rFonts w:cs="Arial"/>
          <w:b/>
          <w:sz w:val="20"/>
          <w:szCs w:val="20"/>
        </w:rPr>
        <w:t>Spoluúčast – pojistná událost na více souborech</w:t>
      </w:r>
    </w:p>
    <w:p w14:paraId="05B24B25" w14:textId="77777777" w:rsidR="00450AC2" w:rsidRPr="00B90A7C" w:rsidRDefault="00450AC2" w:rsidP="00A473EA">
      <w:pPr>
        <w:spacing w:after="120" w:line="280" w:lineRule="atLeast"/>
        <w:ind w:left="227"/>
        <w:rPr>
          <w:rFonts w:cs="Arial"/>
          <w:sz w:val="20"/>
          <w:szCs w:val="20"/>
        </w:rPr>
      </w:pPr>
      <w:r w:rsidRPr="000B13F1">
        <w:rPr>
          <w:rFonts w:cs="Arial"/>
          <w:sz w:val="20"/>
          <w:szCs w:val="20"/>
        </w:rPr>
        <w:t xml:space="preserve">V případě pojistné události na více pojištěných souborech (z téže příčiny) odečte pojistitel pouze jednu spoluúčast, a to nejvyšší sjednanou, pokud není pro klienta výhodnější odečtení spoluúčastí </w:t>
      </w:r>
      <w:r w:rsidR="003C368E" w:rsidRPr="000B13F1">
        <w:rPr>
          <w:rFonts w:cs="Arial"/>
          <w:sz w:val="20"/>
          <w:szCs w:val="20"/>
        </w:rPr>
        <w:br/>
      </w:r>
      <w:r w:rsidRPr="000B13F1">
        <w:rPr>
          <w:rFonts w:cs="Arial"/>
          <w:sz w:val="20"/>
          <w:szCs w:val="20"/>
        </w:rPr>
        <w:t>z jednotlivých předmětů pojištění, jichž se pojistná událost týká. Toto se vztahuje také na případy, kdy pojistná událost nastane z téže příčiny na více místech pojištění.</w:t>
      </w:r>
    </w:p>
    <w:p w14:paraId="23F98603" w14:textId="77777777" w:rsidR="00450AC2" w:rsidRPr="002031B5" w:rsidRDefault="00450AC2" w:rsidP="002031B5">
      <w:pPr>
        <w:pStyle w:val="Odstavecseseznamem"/>
        <w:numPr>
          <w:ilvl w:val="0"/>
          <w:numId w:val="17"/>
        </w:numPr>
        <w:spacing w:after="120" w:line="280" w:lineRule="atLeast"/>
        <w:ind w:left="227" w:firstLine="0"/>
        <w:rPr>
          <w:rFonts w:cs="Arial"/>
          <w:b/>
          <w:sz w:val="20"/>
          <w:szCs w:val="20"/>
        </w:rPr>
      </w:pPr>
      <w:r w:rsidRPr="002031B5">
        <w:rPr>
          <w:rFonts w:cs="Arial"/>
          <w:b/>
          <w:sz w:val="20"/>
          <w:szCs w:val="20"/>
        </w:rPr>
        <w:t xml:space="preserve">Katastrofická rizika </w:t>
      </w:r>
      <w:r w:rsidR="002031B5">
        <w:rPr>
          <w:rFonts w:cs="Arial"/>
          <w:b/>
          <w:sz w:val="20"/>
          <w:szCs w:val="20"/>
        </w:rPr>
        <w:t>–</w:t>
      </w:r>
      <w:r w:rsidRPr="002031B5">
        <w:rPr>
          <w:rFonts w:cs="Arial"/>
          <w:b/>
          <w:sz w:val="20"/>
          <w:szCs w:val="20"/>
        </w:rPr>
        <w:t xml:space="preserve"> </w:t>
      </w:r>
      <w:r w:rsidR="002031B5">
        <w:rPr>
          <w:rFonts w:cs="Arial"/>
          <w:b/>
          <w:sz w:val="20"/>
          <w:szCs w:val="20"/>
        </w:rPr>
        <w:t>časové vymezení 1 pojistné události</w:t>
      </w:r>
    </w:p>
    <w:p w14:paraId="3696E414" w14:textId="77777777" w:rsidR="00450AC2" w:rsidRPr="00B90A7C" w:rsidRDefault="00450AC2" w:rsidP="00A473EA">
      <w:pPr>
        <w:spacing w:after="120" w:line="280" w:lineRule="atLeast"/>
        <w:ind w:left="227"/>
        <w:rPr>
          <w:rFonts w:cs="Arial"/>
          <w:sz w:val="20"/>
          <w:szCs w:val="20"/>
        </w:rPr>
      </w:pPr>
      <w:r w:rsidRPr="000B13F1">
        <w:rPr>
          <w:rFonts w:cs="Arial"/>
          <w:sz w:val="20"/>
          <w:szCs w:val="20"/>
        </w:rPr>
        <w:t>Ujednává se</w:t>
      </w:r>
      <w:r w:rsidR="003C368E" w:rsidRPr="000B13F1">
        <w:rPr>
          <w:rFonts w:cs="Arial"/>
          <w:sz w:val="20"/>
          <w:szCs w:val="20"/>
        </w:rPr>
        <w:t>, že u škod způsobených riziky „</w:t>
      </w:r>
      <w:r w:rsidRPr="000B13F1">
        <w:rPr>
          <w:rFonts w:cs="Arial"/>
          <w:sz w:val="20"/>
          <w:szCs w:val="20"/>
        </w:rPr>
        <w:t>záplava, povodeň"</w:t>
      </w:r>
      <w:r w:rsidR="003C368E" w:rsidRPr="000B13F1">
        <w:rPr>
          <w:rFonts w:cs="Arial"/>
          <w:sz w:val="20"/>
          <w:szCs w:val="20"/>
        </w:rPr>
        <w:t xml:space="preserve"> a „zemětřesení“</w:t>
      </w:r>
      <w:r w:rsidRPr="000B13F1">
        <w:rPr>
          <w:rFonts w:cs="Arial"/>
          <w:sz w:val="20"/>
          <w:szCs w:val="20"/>
        </w:rPr>
        <w:t xml:space="preserve"> a nastalých z jedné příčiny během 72 hodin se odečítá pouze jedna spoluúčast, pro riziko "vichřice a krupobití" platí časová lhůta 48 hodin. Toto ujednání se vztahuje také na případy, kdy pojistná událost nastane </w:t>
      </w:r>
      <w:r w:rsidR="00201B15" w:rsidRPr="000B13F1">
        <w:rPr>
          <w:rFonts w:cs="Arial"/>
          <w:sz w:val="20"/>
          <w:szCs w:val="20"/>
        </w:rPr>
        <w:br/>
      </w:r>
      <w:r w:rsidRPr="000B13F1">
        <w:rPr>
          <w:rFonts w:cs="Arial"/>
          <w:sz w:val="20"/>
          <w:szCs w:val="20"/>
        </w:rPr>
        <w:t>z téže příčiny na více místech pojištění.</w:t>
      </w:r>
    </w:p>
    <w:p w14:paraId="069698EF" w14:textId="49E4D6AF" w:rsidR="00AD717B" w:rsidRDefault="00AD717B" w:rsidP="002031B5">
      <w:pPr>
        <w:pStyle w:val="Odstavecseseznamem"/>
        <w:numPr>
          <w:ilvl w:val="0"/>
          <w:numId w:val="17"/>
        </w:numPr>
        <w:spacing w:after="120" w:line="280" w:lineRule="atLeast"/>
        <w:ind w:left="227" w:firstLine="0"/>
        <w:rPr>
          <w:rFonts w:cs="Arial"/>
          <w:b/>
          <w:sz w:val="20"/>
          <w:szCs w:val="20"/>
        </w:rPr>
      </w:pPr>
      <w:r>
        <w:rPr>
          <w:rFonts w:cs="Arial"/>
          <w:b/>
          <w:sz w:val="20"/>
          <w:szCs w:val="20"/>
        </w:rPr>
        <w:t>Povodeň, záplava – čekací doba</w:t>
      </w:r>
    </w:p>
    <w:p w14:paraId="65381EC7" w14:textId="36B5971B" w:rsidR="00AD717B" w:rsidRDefault="00AD717B" w:rsidP="00AD717B">
      <w:pPr>
        <w:spacing w:after="120" w:line="280" w:lineRule="atLeast"/>
        <w:ind w:left="227"/>
        <w:rPr>
          <w:rFonts w:cs="Arial"/>
          <w:sz w:val="20"/>
          <w:szCs w:val="20"/>
        </w:rPr>
      </w:pPr>
      <w:r w:rsidRPr="00AD717B">
        <w:rPr>
          <w:rFonts w:cs="Arial"/>
          <w:sz w:val="20"/>
          <w:szCs w:val="20"/>
        </w:rPr>
        <w:t>Odchylně od příslušných pojistných podmínek se ujednává, že pojištění pro případ povodně a záplavy se sjednává bez čekací doby.</w:t>
      </w:r>
    </w:p>
    <w:p w14:paraId="26AD1935" w14:textId="24506AA5" w:rsidR="00AD717B" w:rsidRDefault="00AD717B" w:rsidP="00AD717B">
      <w:pPr>
        <w:pStyle w:val="Odstavecseseznamem"/>
        <w:numPr>
          <w:ilvl w:val="0"/>
          <w:numId w:val="17"/>
        </w:numPr>
        <w:spacing w:after="120" w:line="280" w:lineRule="atLeast"/>
        <w:ind w:left="227" w:firstLine="0"/>
        <w:rPr>
          <w:rFonts w:cs="Arial"/>
          <w:b/>
          <w:sz w:val="20"/>
          <w:szCs w:val="20"/>
        </w:rPr>
      </w:pPr>
      <w:r>
        <w:rPr>
          <w:rFonts w:cs="Arial"/>
          <w:b/>
          <w:sz w:val="20"/>
          <w:szCs w:val="20"/>
        </w:rPr>
        <w:t>Vichřice, krupobití – čekací doba</w:t>
      </w:r>
    </w:p>
    <w:p w14:paraId="59ACDD9E" w14:textId="007C9842" w:rsidR="00AD717B" w:rsidRDefault="00AD717B" w:rsidP="00AD717B">
      <w:pPr>
        <w:spacing w:after="120" w:line="280" w:lineRule="atLeast"/>
        <w:ind w:left="227"/>
        <w:rPr>
          <w:rFonts w:cs="Arial"/>
          <w:sz w:val="20"/>
          <w:szCs w:val="20"/>
        </w:rPr>
      </w:pPr>
      <w:r w:rsidRPr="00AD717B">
        <w:rPr>
          <w:rFonts w:cs="Arial"/>
          <w:sz w:val="20"/>
          <w:szCs w:val="20"/>
        </w:rPr>
        <w:t>Odchylně od příslušných pojistných podmínek se ujednává, že pojištění pro případ vichřice a krupobití se sjednává bez čekací doby.</w:t>
      </w:r>
    </w:p>
    <w:p w14:paraId="06945E05" w14:textId="12E216EF" w:rsidR="005040C6" w:rsidRDefault="005040C6" w:rsidP="00AD717B">
      <w:pPr>
        <w:pStyle w:val="Odstavecseseznamem"/>
        <w:numPr>
          <w:ilvl w:val="0"/>
          <w:numId w:val="17"/>
        </w:numPr>
        <w:spacing w:after="120" w:line="280" w:lineRule="atLeast"/>
        <w:ind w:left="227" w:firstLine="0"/>
        <w:contextualSpacing w:val="0"/>
        <w:rPr>
          <w:rFonts w:cs="Arial"/>
          <w:b/>
          <w:sz w:val="20"/>
          <w:szCs w:val="20"/>
        </w:rPr>
      </w:pPr>
      <w:r w:rsidRPr="002031B5">
        <w:rPr>
          <w:rFonts w:cs="Arial"/>
          <w:b/>
          <w:sz w:val="20"/>
          <w:szCs w:val="20"/>
        </w:rPr>
        <w:t>Vodovodní škody</w:t>
      </w:r>
      <w:r w:rsidR="0060172E">
        <w:rPr>
          <w:rFonts w:cs="Arial"/>
          <w:b/>
          <w:sz w:val="20"/>
          <w:szCs w:val="20"/>
        </w:rPr>
        <w:t xml:space="preserve"> – obecné</w:t>
      </w:r>
    </w:p>
    <w:p w14:paraId="4321B37C" w14:textId="785804B3" w:rsidR="0060172E" w:rsidRDefault="0060172E" w:rsidP="0060172E">
      <w:pPr>
        <w:pStyle w:val="Odstavecseseznamem"/>
        <w:spacing w:after="120" w:line="280" w:lineRule="atLeast"/>
        <w:ind w:left="227"/>
        <w:contextualSpacing w:val="0"/>
        <w:rPr>
          <w:rFonts w:cs="Arial"/>
          <w:bCs/>
          <w:sz w:val="20"/>
          <w:szCs w:val="20"/>
        </w:rPr>
      </w:pPr>
      <w:r w:rsidRPr="0060172E">
        <w:rPr>
          <w:rFonts w:cs="Arial"/>
          <w:bCs/>
          <w:sz w:val="20"/>
          <w:szCs w:val="20"/>
        </w:rPr>
        <w:t>Pro pojištění vodovodních škod se ujednává také krytí škod z vodovodních či kanalizačních potrubí a zařízeních připojených na potrubí způsobených lomem trubky, přetlakem páry nebo kapal</w:t>
      </w:r>
      <w:r>
        <w:rPr>
          <w:rFonts w:cs="Arial"/>
          <w:bCs/>
          <w:sz w:val="20"/>
          <w:szCs w:val="20"/>
        </w:rPr>
        <w:t>i</w:t>
      </w:r>
      <w:r w:rsidRPr="0060172E">
        <w:rPr>
          <w:rFonts w:cs="Arial"/>
          <w:bCs/>
          <w:sz w:val="20"/>
          <w:szCs w:val="20"/>
        </w:rPr>
        <w:t>ny</w:t>
      </w:r>
      <w:r>
        <w:rPr>
          <w:rFonts w:cs="Arial"/>
          <w:bCs/>
          <w:sz w:val="20"/>
          <w:szCs w:val="20"/>
        </w:rPr>
        <w:t xml:space="preserve"> </w:t>
      </w:r>
      <w:r w:rsidRPr="0060172E">
        <w:rPr>
          <w:rFonts w:cs="Arial"/>
          <w:bCs/>
          <w:sz w:val="20"/>
          <w:szCs w:val="20"/>
        </w:rPr>
        <w:t>nebo zamrznutím vody ve vodovodním či kanalizačním potrubí a zařízeních připojených na</w:t>
      </w:r>
      <w:r>
        <w:rPr>
          <w:rFonts w:cs="Arial"/>
          <w:bCs/>
          <w:sz w:val="20"/>
          <w:szCs w:val="20"/>
        </w:rPr>
        <w:t xml:space="preserve"> </w:t>
      </w:r>
      <w:r w:rsidRPr="0060172E">
        <w:rPr>
          <w:rFonts w:cs="Arial"/>
          <w:bCs/>
          <w:sz w:val="20"/>
          <w:szCs w:val="20"/>
        </w:rPr>
        <w:t>potrubí, únikem vody či jiného media vytékajícího z klimatizačního zařízení, technologií,</w:t>
      </w:r>
      <w:r>
        <w:rPr>
          <w:rFonts w:cs="Arial"/>
          <w:bCs/>
          <w:sz w:val="20"/>
          <w:szCs w:val="20"/>
        </w:rPr>
        <w:t xml:space="preserve"> </w:t>
      </w:r>
      <w:r w:rsidRPr="0060172E">
        <w:rPr>
          <w:rFonts w:cs="Arial"/>
          <w:bCs/>
          <w:sz w:val="20"/>
          <w:szCs w:val="20"/>
        </w:rPr>
        <w:t>sprinklerů, automatických hasících zařízení vč, poruchy a zkoušek. Pojistitel poskytne pojistné</w:t>
      </w:r>
      <w:r>
        <w:rPr>
          <w:rFonts w:cs="Arial"/>
          <w:bCs/>
          <w:sz w:val="20"/>
          <w:szCs w:val="20"/>
        </w:rPr>
        <w:t xml:space="preserve"> </w:t>
      </w:r>
      <w:r w:rsidRPr="0060172E">
        <w:rPr>
          <w:rFonts w:cs="Arial"/>
          <w:bCs/>
          <w:sz w:val="20"/>
          <w:szCs w:val="20"/>
        </w:rPr>
        <w:t>plnění i za náklady na odstranění závady, tj, opravu, případně výměnu poškozeného nebo</w:t>
      </w:r>
      <w:r>
        <w:rPr>
          <w:rFonts w:cs="Arial"/>
          <w:bCs/>
          <w:sz w:val="20"/>
          <w:szCs w:val="20"/>
        </w:rPr>
        <w:t xml:space="preserve"> </w:t>
      </w:r>
      <w:r w:rsidRPr="0060172E">
        <w:rPr>
          <w:rFonts w:cs="Arial"/>
          <w:bCs/>
          <w:sz w:val="20"/>
          <w:szCs w:val="20"/>
        </w:rPr>
        <w:t>zničeného přívodního a odpadového potrubí</w:t>
      </w:r>
      <w:r w:rsidR="00400907">
        <w:rPr>
          <w:rFonts w:cs="Arial"/>
          <w:bCs/>
          <w:sz w:val="20"/>
          <w:szCs w:val="20"/>
        </w:rPr>
        <w:t xml:space="preserve"> do ročního limitu pojistného plnění ve výši 200 000 Kč</w:t>
      </w:r>
    </w:p>
    <w:p w14:paraId="2CB4213D" w14:textId="54B03ABC" w:rsidR="00E95F31" w:rsidRDefault="003A623B" w:rsidP="002031B5">
      <w:pPr>
        <w:pStyle w:val="Odstavecseseznamem"/>
        <w:numPr>
          <w:ilvl w:val="0"/>
          <w:numId w:val="17"/>
        </w:numPr>
        <w:spacing w:after="120" w:line="280" w:lineRule="atLeast"/>
        <w:ind w:left="227" w:firstLine="0"/>
        <w:rPr>
          <w:rFonts w:cs="Arial"/>
          <w:b/>
          <w:sz w:val="20"/>
          <w:szCs w:val="20"/>
        </w:rPr>
      </w:pPr>
      <w:r w:rsidRPr="002031B5">
        <w:rPr>
          <w:rFonts w:cs="Arial"/>
          <w:b/>
          <w:sz w:val="20"/>
          <w:szCs w:val="20"/>
        </w:rPr>
        <w:t xml:space="preserve"> </w:t>
      </w:r>
      <w:r w:rsidR="00E95F31" w:rsidRPr="002031B5">
        <w:rPr>
          <w:rFonts w:cs="Arial"/>
          <w:b/>
          <w:sz w:val="20"/>
          <w:szCs w:val="20"/>
        </w:rPr>
        <w:t>Vodovodní škody</w:t>
      </w:r>
      <w:r w:rsidR="00E95F31">
        <w:rPr>
          <w:rFonts w:cs="Arial"/>
          <w:b/>
          <w:sz w:val="20"/>
          <w:szCs w:val="20"/>
        </w:rPr>
        <w:t xml:space="preserve"> – akvária</w:t>
      </w:r>
    </w:p>
    <w:p w14:paraId="092C6DBA" w14:textId="47D3482E" w:rsidR="00E95F31" w:rsidRDefault="00E95F31" w:rsidP="00E95F31">
      <w:pPr>
        <w:pStyle w:val="Odstavecseseznamem"/>
        <w:spacing w:after="120" w:line="280" w:lineRule="atLeast"/>
        <w:ind w:left="227"/>
        <w:contextualSpacing w:val="0"/>
        <w:rPr>
          <w:rFonts w:cs="Arial"/>
          <w:sz w:val="20"/>
          <w:szCs w:val="20"/>
        </w:rPr>
      </w:pPr>
      <w:r w:rsidRPr="000B13F1">
        <w:rPr>
          <w:rFonts w:cs="Arial"/>
          <w:sz w:val="20"/>
          <w:szCs w:val="20"/>
        </w:rPr>
        <w:t xml:space="preserve">Pojištění vodovodních škod se vztahuje i na škody způsobené vodou </w:t>
      </w:r>
      <w:r w:rsidR="005040C6">
        <w:rPr>
          <w:rFonts w:cs="Arial"/>
          <w:sz w:val="20"/>
          <w:szCs w:val="20"/>
        </w:rPr>
        <w:t xml:space="preserve">uniklou </w:t>
      </w:r>
      <w:r w:rsidR="005040C6" w:rsidRPr="005040C6">
        <w:rPr>
          <w:rFonts w:cs="Arial"/>
          <w:sz w:val="20"/>
          <w:szCs w:val="20"/>
        </w:rPr>
        <w:t xml:space="preserve">z funkčních modelů, akvárií </w:t>
      </w:r>
      <w:r w:rsidRPr="00E95F31">
        <w:rPr>
          <w:rFonts w:cs="Arial"/>
          <w:sz w:val="20"/>
          <w:szCs w:val="20"/>
        </w:rPr>
        <w:t>či</w:t>
      </w:r>
      <w:r>
        <w:rPr>
          <w:rFonts w:cs="Arial"/>
          <w:sz w:val="20"/>
          <w:szCs w:val="20"/>
        </w:rPr>
        <w:t xml:space="preserve"> </w:t>
      </w:r>
      <w:r w:rsidRPr="00E95F31">
        <w:rPr>
          <w:rFonts w:cs="Arial"/>
          <w:sz w:val="20"/>
          <w:szCs w:val="20"/>
        </w:rPr>
        <w:t>obdobn</w:t>
      </w:r>
      <w:r w:rsidR="005040C6">
        <w:rPr>
          <w:rFonts w:cs="Arial"/>
          <w:sz w:val="20"/>
          <w:szCs w:val="20"/>
        </w:rPr>
        <w:t xml:space="preserve">ých </w:t>
      </w:r>
      <w:r w:rsidRPr="00E95F31">
        <w:rPr>
          <w:rFonts w:cs="Arial"/>
          <w:sz w:val="20"/>
          <w:szCs w:val="20"/>
        </w:rPr>
        <w:t>nádrž</w:t>
      </w:r>
      <w:r w:rsidR="005040C6">
        <w:rPr>
          <w:rFonts w:cs="Arial"/>
          <w:sz w:val="20"/>
          <w:szCs w:val="20"/>
        </w:rPr>
        <w:t>í</w:t>
      </w:r>
      <w:r w:rsidRPr="00E95F31">
        <w:rPr>
          <w:rFonts w:cs="Arial"/>
          <w:sz w:val="20"/>
          <w:szCs w:val="20"/>
        </w:rPr>
        <w:t xml:space="preserve"> sloužící</w:t>
      </w:r>
      <w:r w:rsidR="005040C6">
        <w:rPr>
          <w:rFonts w:cs="Arial"/>
          <w:sz w:val="20"/>
          <w:szCs w:val="20"/>
        </w:rPr>
        <w:t>ch</w:t>
      </w:r>
      <w:r w:rsidRPr="00E95F31">
        <w:rPr>
          <w:rFonts w:cs="Arial"/>
          <w:sz w:val="20"/>
          <w:szCs w:val="20"/>
        </w:rPr>
        <w:t xml:space="preserve"> k umístění živočichů nebo rostlin</w:t>
      </w:r>
      <w:r w:rsidR="005040C6">
        <w:rPr>
          <w:rFonts w:cs="Arial"/>
          <w:sz w:val="20"/>
          <w:szCs w:val="20"/>
        </w:rPr>
        <w:t>.</w:t>
      </w:r>
    </w:p>
    <w:p w14:paraId="414A95F4" w14:textId="65679B10" w:rsidR="00400907" w:rsidRDefault="00400907">
      <w:pPr>
        <w:jc w:val="left"/>
        <w:rPr>
          <w:rFonts w:cs="Arial"/>
          <w:sz w:val="20"/>
          <w:szCs w:val="20"/>
        </w:rPr>
      </w:pPr>
      <w:r>
        <w:rPr>
          <w:rFonts w:cs="Arial"/>
          <w:sz w:val="20"/>
          <w:szCs w:val="20"/>
        </w:rPr>
        <w:br w:type="page"/>
      </w:r>
    </w:p>
    <w:p w14:paraId="52B4A474" w14:textId="77777777" w:rsidR="00400907" w:rsidRDefault="00400907" w:rsidP="00E95F31">
      <w:pPr>
        <w:pStyle w:val="Odstavecseseznamem"/>
        <w:spacing w:after="120" w:line="280" w:lineRule="atLeast"/>
        <w:ind w:left="227"/>
        <w:contextualSpacing w:val="0"/>
        <w:rPr>
          <w:rFonts w:cs="Arial"/>
          <w:sz w:val="20"/>
          <w:szCs w:val="20"/>
        </w:rPr>
      </w:pPr>
    </w:p>
    <w:p w14:paraId="015754E1" w14:textId="5B963676" w:rsidR="003A623B" w:rsidRPr="002031B5" w:rsidRDefault="003A623B" w:rsidP="002031B5">
      <w:pPr>
        <w:pStyle w:val="Odstavecseseznamem"/>
        <w:numPr>
          <w:ilvl w:val="0"/>
          <w:numId w:val="17"/>
        </w:numPr>
        <w:spacing w:after="120" w:line="280" w:lineRule="atLeast"/>
        <w:ind w:left="227" w:firstLine="0"/>
        <w:rPr>
          <w:rFonts w:cs="Arial"/>
          <w:b/>
          <w:sz w:val="20"/>
          <w:szCs w:val="20"/>
        </w:rPr>
      </w:pPr>
      <w:r w:rsidRPr="002031B5">
        <w:rPr>
          <w:rFonts w:cs="Arial"/>
          <w:b/>
          <w:sz w:val="20"/>
          <w:szCs w:val="20"/>
        </w:rPr>
        <w:t>Vodovodní škody – mráz, lom</w:t>
      </w:r>
    </w:p>
    <w:p w14:paraId="425D23FF" w14:textId="77777777" w:rsidR="00400907" w:rsidRDefault="003A623B" w:rsidP="00400907">
      <w:pPr>
        <w:spacing w:before="120" w:after="60" w:line="280" w:lineRule="atLeast"/>
        <w:ind w:left="227"/>
        <w:rPr>
          <w:rFonts w:cs="Arial"/>
          <w:sz w:val="20"/>
          <w:szCs w:val="20"/>
        </w:rPr>
      </w:pPr>
      <w:r w:rsidRPr="003A623B">
        <w:rPr>
          <w:rFonts w:cs="Arial"/>
          <w:sz w:val="20"/>
          <w:szCs w:val="20"/>
        </w:rPr>
        <w:t>Pojištění vodovodních škod se vztahuje i na škody způsobené mrazem nebo lomem na pojištěných potrubích a zařízeních</w:t>
      </w:r>
      <w:r>
        <w:rPr>
          <w:rFonts w:cs="Arial"/>
          <w:sz w:val="20"/>
          <w:szCs w:val="20"/>
        </w:rPr>
        <w:t xml:space="preserve"> </w:t>
      </w:r>
      <w:r w:rsidRPr="003A623B">
        <w:rPr>
          <w:rFonts w:cs="Arial"/>
          <w:sz w:val="20"/>
          <w:szCs w:val="20"/>
        </w:rPr>
        <w:t xml:space="preserve">umístěných mimo budovu, maximálně však do vzdálenosti 30 m od budovy. </w:t>
      </w:r>
    </w:p>
    <w:p w14:paraId="0E5FFA62" w14:textId="52D7F84B" w:rsidR="003A623B" w:rsidRPr="003A623B" w:rsidRDefault="003A623B" w:rsidP="00400907">
      <w:pPr>
        <w:spacing w:before="120" w:after="60" w:line="280" w:lineRule="atLeast"/>
        <w:ind w:left="227"/>
        <w:rPr>
          <w:rFonts w:cs="Arial"/>
          <w:sz w:val="20"/>
          <w:szCs w:val="20"/>
        </w:rPr>
      </w:pPr>
      <w:r w:rsidRPr="003A623B">
        <w:rPr>
          <w:rFonts w:cs="Arial"/>
          <w:sz w:val="20"/>
          <w:szCs w:val="20"/>
        </w:rPr>
        <w:t>V rámci sjednané pojistné částky nebo limitu</w:t>
      </w:r>
      <w:r>
        <w:rPr>
          <w:rFonts w:cs="Arial"/>
          <w:sz w:val="20"/>
          <w:szCs w:val="20"/>
        </w:rPr>
        <w:t xml:space="preserve"> </w:t>
      </w:r>
      <w:r w:rsidRPr="003A623B">
        <w:rPr>
          <w:rFonts w:cs="Arial"/>
          <w:sz w:val="20"/>
          <w:szCs w:val="20"/>
        </w:rPr>
        <w:t>pojistného plnění nemovitých věcí (staveb) pojistitel uhradí:</w:t>
      </w:r>
    </w:p>
    <w:p w14:paraId="0DD82C9A" w14:textId="77777777" w:rsidR="00E22EAF" w:rsidRPr="00E22EAF" w:rsidRDefault="00400907" w:rsidP="00E22EAF">
      <w:pPr>
        <w:pStyle w:val="Odstavecseseznamem"/>
        <w:numPr>
          <w:ilvl w:val="0"/>
          <w:numId w:val="26"/>
        </w:numPr>
        <w:spacing w:line="280" w:lineRule="atLeast"/>
        <w:rPr>
          <w:rFonts w:cs="Arial"/>
          <w:sz w:val="20"/>
          <w:szCs w:val="20"/>
        </w:rPr>
      </w:pPr>
      <w:r w:rsidRPr="00E22EAF">
        <w:rPr>
          <w:rFonts w:cs="Arial"/>
          <w:bCs/>
          <w:sz w:val="20"/>
          <w:szCs w:val="20"/>
        </w:rPr>
        <w:t>náklady na odstranění závady, tj, opravu, případně výměnu poškozeného nebo zničeného přívodního a odpadového potrubí do ročního limitu pojistného plnění ve výši 200 000 Kč</w:t>
      </w:r>
    </w:p>
    <w:p w14:paraId="13152F63" w14:textId="2FC0ADCC" w:rsidR="003A623B" w:rsidRPr="00E22EAF" w:rsidRDefault="003A623B" w:rsidP="00E22EAF">
      <w:pPr>
        <w:pStyle w:val="Odstavecseseznamem"/>
        <w:numPr>
          <w:ilvl w:val="0"/>
          <w:numId w:val="26"/>
        </w:numPr>
        <w:spacing w:after="120" w:line="280" w:lineRule="atLeast"/>
        <w:ind w:left="584" w:hanging="357"/>
        <w:contextualSpacing w:val="0"/>
        <w:rPr>
          <w:rFonts w:cs="Arial"/>
          <w:sz w:val="20"/>
          <w:szCs w:val="20"/>
        </w:rPr>
      </w:pPr>
      <w:r w:rsidRPr="00E22EAF">
        <w:rPr>
          <w:rFonts w:cs="Arial"/>
          <w:sz w:val="20"/>
          <w:szCs w:val="20"/>
        </w:rPr>
        <w:t>škody způsobené ztrátou vody do ročního limitu plnění 250 000,- Kč</w:t>
      </w:r>
    </w:p>
    <w:p w14:paraId="3C68CA09" w14:textId="77777777" w:rsidR="0057383E" w:rsidRDefault="0057383E" w:rsidP="002031B5">
      <w:pPr>
        <w:pStyle w:val="Odstavecseseznamem"/>
        <w:numPr>
          <w:ilvl w:val="0"/>
          <w:numId w:val="17"/>
        </w:numPr>
        <w:spacing w:after="120" w:line="280" w:lineRule="atLeast"/>
        <w:ind w:left="227" w:firstLine="0"/>
        <w:rPr>
          <w:rFonts w:cs="Arial"/>
          <w:b/>
          <w:sz w:val="20"/>
          <w:szCs w:val="20"/>
        </w:rPr>
      </w:pPr>
      <w:r>
        <w:rPr>
          <w:rFonts w:cs="Arial"/>
          <w:b/>
          <w:sz w:val="20"/>
          <w:szCs w:val="20"/>
        </w:rPr>
        <w:t>Pojištění na novou cenu</w:t>
      </w:r>
    </w:p>
    <w:p w14:paraId="1B1B93CD" w14:textId="77777777" w:rsidR="00967D6C" w:rsidRPr="00967D6C" w:rsidRDefault="00967D6C" w:rsidP="00967D6C">
      <w:pPr>
        <w:spacing w:after="120" w:line="280" w:lineRule="atLeast"/>
        <w:ind w:left="227"/>
        <w:rPr>
          <w:rFonts w:cs="Arial"/>
          <w:sz w:val="20"/>
          <w:szCs w:val="20"/>
        </w:rPr>
      </w:pPr>
      <w:r w:rsidRPr="00967D6C">
        <w:rPr>
          <w:rFonts w:cs="Arial"/>
          <w:sz w:val="20"/>
          <w:szCs w:val="20"/>
        </w:rPr>
        <w:t>Pojištění všech předmětů pojištění se sjednává na novou cenu. V případě poškození nebo zničení pojištěných věcí vyplatí</w:t>
      </w:r>
      <w:r>
        <w:rPr>
          <w:rFonts w:cs="Arial"/>
          <w:sz w:val="20"/>
          <w:szCs w:val="20"/>
        </w:rPr>
        <w:t xml:space="preserve"> </w:t>
      </w:r>
      <w:r w:rsidRPr="00967D6C">
        <w:rPr>
          <w:rFonts w:cs="Arial"/>
          <w:sz w:val="20"/>
          <w:szCs w:val="20"/>
        </w:rPr>
        <w:t>pojistitel náklad na znovupořízení věci snížený o cenu případných zbytků takto:</w:t>
      </w:r>
    </w:p>
    <w:p w14:paraId="0C01D713" w14:textId="7FEBB73B" w:rsidR="00967D6C" w:rsidRPr="00967D6C" w:rsidRDefault="00967D6C" w:rsidP="00967D6C">
      <w:pPr>
        <w:spacing w:after="120" w:line="280" w:lineRule="atLeast"/>
        <w:ind w:left="227"/>
        <w:rPr>
          <w:rFonts w:cs="Arial"/>
          <w:sz w:val="20"/>
          <w:szCs w:val="20"/>
        </w:rPr>
      </w:pPr>
      <w:r w:rsidRPr="00967D6C">
        <w:rPr>
          <w:rFonts w:cs="Arial"/>
          <w:sz w:val="20"/>
          <w:szCs w:val="20"/>
        </w:rPr>
        <w:t xml:space="preserve">Ujednává se, že v případě pojistné události na věcech nemovitých (budovy a stavby) bude pojistné plnění hrazeno v nových cenách bez opotřebení, pokud pojištěný věci nemovité řádně užívá </w:t>
      </w:r>
      <w:r w:rsidR="0060172E">
        <w:rPr>
          <w:rFonts w:cs="Arial"/>
          <w:sz w:val="20"/>
          <w:szCs w:val="20"/>
        </w:rPr>
        <w:br/>
      </w:r>
      <w:r w:rsidRPr="00967D6C">
        <w:rPr>
          <w:rFonts w:cs="Arial"/>
          <w:sz w:val="20"/>
          <w:szCs w:val="20"/>
        </w:rPr>
        <w:t>a provozuje.</w:t>
      </w:r>
    </w:p>
    <w:p w14:paraId="3DA49ED6" w14:textId="2BEA6E78" w:rsidR="0057383E" w:rsidRDefault="00967D6C" w:rsidP="00967D6C">
      <w:pPr>
        <w:spacing w:after="120" w:line="280" w:lineRule="atLeast"/>
        <w:ind w:left="227"/>
        <w:rPr>
          <w:rFonts w:cs="Arial"/>
          <w:sz w:val="20"/>
          <w:szCs w:val="20"/>
        </w:rPr>
      </w:pPr>
      <w:r w:rsidRPr="00967D6C">
        <w:rPr>
          <w:rFonts w:cs="Arial"/>
          <w:sz w:val="20"/>
          <w:szCs w:val="20"/>
        </w:rPr>
        <w:t>Dále se ujednává, že v případě opotřebení nebo jiného znehodnocení pojištěných věcí movitých vyšší než 7</w:t>
      </w:r>
      <w:r w:rsidR="0060172E">
        <w:rPr>
          <w:rFonts w:cs="Arial"/>
          <w:sz w:val="20"/>
          <w:szCs w:val="20"/>
        </w:rPr>
        <w:t>5</w:t>
      </w:r>
      <w:r w:rsidRPr="00967D6C">
        <w:rPr>
          <w:rFonts w:cs="Arial"/>
          <w:sz w:val="20"/>
          <w:szCs w:val="20"/>
        </w:rPr>
        <w:t>% nové ceny,</w:t>
      </w:r>
      <w:r>
        <w:rPr>
          <w:rFonts w:cs="Arial"/>
          <w:sz w:val="20"/>
          <w:szCs w:val="20"/>
        </w:rPr>
        <w:t xml:space="preserve"> </w:t>
      </w:r>
      <w:r w:rsidRPr="00967D6C">
        <w:rPr>
          <w:rFonts w:cs="Arial"/>
          <w:sz w:val="20"/>
          <w:szCs w:val="20"/>
        </w:rPr>
        <w:t>pojistitel poskytne pojistné plnění v časové ceně</w:t>
      </w:r>
      <w:r>
        <w:rPr>
          <w:rFonts w:cs="Arial"/>
          <w:sz w:val="20"/>
          <w:szCs w:val="20"/>
        </w:rPr>
        <w:t>.</w:t>
      </w:r>
    </w:p>
    <w:p w14:paraId="6F6E54A7" w14:textId="6687B9B1" w:rsidR="00450AC2" w:rsidRPr="002031B5" w:rsidRDefault="00450AC2" w:rsidP="00967D6C">
      <w:pPr>
        <w:pStyle w:val="Odstavecseseznamem"/>
        <w:numPr>
          <w:ilvl w:val="0"/>
          <w:numId w:val="17"/>
        </w:numPr>
        <w:spacing w:after="120" w:line="280" w:lineRule="atLeast"/>
        <w:ind w:left="227" w:firstLine="0"/>
        <w:rPr>
          <w:rFonts w:cs="Arial"/>
          <w:b/>
          <w:sz w:val="20"/>
          <w:szCs w:val="20"/>
        </w:rPr>
      </w:pPr>
      <w:r w:rsidRPr="002031B5">
        <w:rPr>
          <w:rFonts w:cs="Arial"/>
          <w:b/>
          <w:sz w:val="20"/>
          <w:szCs w:val="20"/>
        </w:rPr>
        <w:t xml:space="preserve">Cizí věci užívané </w:t>
      </w:r>
      <w:r w:rsidR="0060172E">
        <w:rPr>
          <w:rFonts w:cs="Arial"/>
          <w:b/>
          <w:sz w:val="20"/>
          <w:szCs w:val="20"/>
        </w:rPr>
        <w:t>–</w:t>
      </w:r>
      <w:r w:rsidRPr="002031B5">
        <w:rPr>
          <w:rFonts w:cs="Arial"/>
          <w:b/>
          <w:sz w:val="20"/>
          <w:szCs w:val="20"/>
        </w:rPr>
        <w:t xml:space="preserve"> plnění v nových cenách</w:t>
      </w:r>
    </w:p>
    <w:p w14:paraId="76B26D7F" w14:textId="77777777" w:rsidR="00450AC2" w:rsidRPr="003A623B" w:rsidRDefault="00450AC2" w:rsidP="00A473EA">
      <w:pPr>
        <w:spacing w:after="120" w:line="280" w:lineRule="atLeast"/>
        <w:ind w:left="227"/>
        <w:rPr>
          <w:rFonts w:cs="Arial"/>
          <w:sz w:val="20"/>
          <w:szCs w:val="20"/>
        </w:rPr>
      </w:pPr>
      <w:r w:rsidRPr="003A623B">
        <w:rPr>
          <w:rFonts w:cs="Arial"/>
          <w:sz w:val="20"/>
          <w:szCs w:val="20"/>
        </w:rPr>
        <w:t>V případě cizích věcí užívaných pojištěným se ujednává, že v případě pojistné události pojistitel poskytne plnění v nové ceně.</w:t>
      </w:r>
    </w:p>
    <w:p w14:paraId="361F9175" w14:textId="77777777" w:rsidR="00450AC2" w:rsidRDefault="00450AC2" w:rsidP="00A473EA">
      <w:pPr>
        <w:spacing w:after="120" w:line="280" w:lineRule="atLeast"/>
        <w:ind w:left="227"/>
        <w:rPr>
          <w:rFonts w:cs="Arial"/>
          <w:sz w:val="20"/>
          <w:szCs w:val="20"/>
        </w:rPr>
      </w:pPr>
      <w:r w:rsidRPr="003A623B">
        <w:rPr>
          <w:rFonts w:cs="Arial"/>
          <w:sz w:val="20"/>
          <w:szCs w:val="20"/>
        </w:rPr>
        <w:t>Pojištěné cizí věci, které pojištěný užívá na základě leasingových, nájemních či jiných smluv, jsou v případě převodu do vlastnictví pojištěného automaticky pojištěny – v rozsahu sjednané pojistné smlouvy.</w:t>
      </w:r>
      <w:r w:rsidRPr="00B90A7C">
        <w:rPr>
          <w:rFonts w:cs="Arial"/>
          <w:sz w:val="20"/>
          <w:szCs w:val="20"/>
        </w:rPr>
        <w:t xml:space="preserve"> </w:t>
      </w:r>
    </w:p>
    <w:p w14:paraId="741BF3C4" w14:textId="5BC30E99" w:rsidR="00967D6C" w:rsidRDefault="00967D6C" w:rsidP="00A473EA">
      <w:pPr>
        <w:spacing w:after="120" w:line="280" w:lineRule="atLeast"/>
        <w:ind w:left="227"/>
        <w:rPr>
          <w:rFonts w:cs="Arial"/>
          <w:sz w:val="20"/>
          <w:szCs w:val="20"/>
        </w:rPr>
      </w:pPr>
      <w:r w:rsidRPr="00967D6C">
        <w:rPr>
          <w:rFonts w:cs="Arial"/>
          <w:sz w:val="20"/>
          <w:szCs w:val="20"/>
        </w:rPr>
        <w:t>Dále se ujednává, že v případě opotřebení nebo jiného znehodnocení pojištěných věcí movitých vyšší než 7</w:t>
      </w:r>
      <w:r w:rsidR="0060172E">
        <w:rPr>
          <w:rFonts w:cs="Arial"/>
          <w:sz w:val="20"/>
          <w:szCs w:val="20"/>
        </w:rPr>
        <w:t>5</w:t>
      </w:r>
      <w:r w:rsidRPr="00967D6C">
        <w:rPr>
          <w:rFonts w:cs="Arial"/>
          <w:sz w:val="20"/>
          <w:szCs w:val="20"/>
        </w:rPr>
        <w:t>% nové ceny,</w:t>
      </w:r>
      <w:r>
        <w:rPr>
          <w:rFonts w:cs="Arial"/>
          <w:sz w:val="20"/>
          <w:szCs w:val="20"/>
        </w:rPr>
        <w:t xml:space="preserve"> </w:t>
      </w:r>
      <w:r w:rsidRPr="00967D6C">
        <w:rPr>
          <w:rFonts w:cs="Arial"/>
          <w:sz w:val="20"/>
          <w:szCs w:val="20"/>
        </w:rPr>
        <w:t>pojistitel poskytne pojistné plnění v časové ceně</w:t>
      </w:r>
      <w:r>
        <w:rPr>
          <w:rFonts w:cs="Arial"/>
          <w:sz w:val="20"/>
          <w:szCs w:val="20"/>
        </w:rPr>
        <w:t>.</w:t>
      </w:r>
    </w:p>
    <w:p w14:paraId="0E90BD85" w14:textId="77777777" w:rsidR="00450AC2" w:rsidRPr="002031B5" w:rsidRDefault="00450AC2" w:rsidP="002031B5">
      <w:pPr>
        <w:pStyle w:val="Odstavecseseznamem"/>
        <w:numPr>
          <w:ilvl w:val="0"/>
          <w:numId w:val="17"/>
        </w:numPr>
        <w:spacing w:after="120" w:line="280" w:lineRule="atLeast"/>
        <w:ind w:left="227" w:firstLine="0"/>
        <w:rPr>
          <w:rFonts w:cs="Arial"/>
          <w:b/>
          <w:sz w:val="20"/>
          <w:szCs w:val="20"/>
        </w:rPr>
      </w:pPr>
      <w:r w:rsidRPr="002031B5">
        <w:rPr>
          <w:rFonts w:cs="Arial"/>
          <w:b/>
          <w:sz w:val="20"/>
          <w:szCs w:val="20"/>
        </w:rPr>
        <w:t>Pojištění nemovitostí, na kterých jsou prováděny stavební úpravy</w:t>
      </w:r>
    </w:p>
    <w:p w14:paraId="61C35967" w14:textId="265A07EF" w:rsidR="00BE1DAD" w:rsidRDefault="00450AC2" w:rsidP="003D1592">
      <w:pPr>
        <w:spacing w:after="120" w:line="280" w:lineRule="atLeast"/>
        <w:ind w:left="227"/>
        <w:rPr>
          <w:rFonts w:cs="Arial"/>
          <w:sz w:val="20"/>
          <w:szCs w:val="20"/>
        </w:rPr>
      </w:pPr>
      <w:r w:rsidRPr="00B90A7C">
        <w:rPr>
          <w:rFonts w:cs="Arial"/>
          <w:sz w:val="20"/>
          <w:szCs w:val="20"/>
        </w:rPr>
        <w:t>Pojištění budov, hal a staveb (dále jen nemovitosti) se vztahuje také na škody vzniklé v důsledku pojištěných nebezpečí na nemovitostech, na kterých jsou prováděny stavební úpravy, včetně těch, k nimž je třeba stavební povolení. Pojištění se vztahuje také na nemovitosti ve výstavbě anebo před kolaudací, pokud k těmto nemovitostem přešlo nebezpečí škody na pojištěného</w:t>
      </w:r>
      <w:r w:rsidR="003D1592" w:rsidRPr="003D1592">
        <w:rPr>
          <w:rFonts w:cs="Arial"/>
          <w:sz w:val="20"/>
          <w:szCs w:val="20"/>
        </w:rPr>
        <w:t xml:space="preserve"> </w:t>
      </w:r>
      <w:r w:rsidR="003D1592">
        <w:rPr>
          <w:rFonts w:cs="Arial"/>
          <w:sz w:val="20"/>
          <w:szCs w:val="20"/>
        </w:rPr>
        <w:t xml:space="preserve">a </w:t>
      </w:r>
      <w:r w:rsidR="003D1592" w:rsidRPr="003A623B">
        <w:rPr>
          <w:rFonts w:cs="Arial"/>
          <w:sz w:val="20"/>
          <w:szCs w:val="20"/>
        </w:rPr>
        <w:t>bylo vydáno povolení k předčasnému užívání stavby</w:t>
      </w:r>
      <w:r w:rsidRPr="00B90A7C">
        <w:rPr>
          <w:rFonts w:cs="Arial"/>
          <w:sz w:val="20"/>
          <w:szCs w:val="20"/>
        </w:rPr>
        <w:t xml:space="preserve">, jakož i na věcech v takové nemovitosti umístěných, a to </w:t>
      </w:r>
      <w:r w:rsidR="00EC52C0">
        <w:rPr>
          <w:rFonts w:cs="Arial"/>
          <w:sz w:val="20"/>
          <w:szCs w:val="20"/>
        </w:rPr>
        <w:br/>
      </w:r>
      <w:r w:rsidRPr="00B90A7C">
        <w:rPr>
          <w:rFonts w:cs="Arial"/>
          <w:sz w:val="20"/>
          <w:szCs w:val="20"/>
        </w:rPr>
        <w:t>za předpokladu, že ke škodě nedošlo bezprostředně v důsledku stavebně montážní činnosti.</w:t>
      </w:r>
    </w:p>
    <w:p w14:paraId="5803B3DB" w14:textId="5DBF7794" w:rsidR="00AD717B" w:rsidRDefault="00AD717B" w:rsidP="002031B5">
      <w:pPr>
        <w:pStyle w:val="Odstavecseseznamem"/>
        <w:numPr>
          <w:ilvl w:val="0"/>
          <w:numId w:val="17"/>
        </w:numPr>
        <w:spacing w:after="120" w:line="280" w:lineRule="atLeast"/>
        <w:ind w:left="227" w:firstLine="0"/>
        <w:rPr>
          <w:rFonts w:cs="Arial"/>
          <w:b/>
          <w:sz w:val="20"/>
          <w:szCs w:val="20"/>
        </w:rPr>
      </w:pPr>
      <w:r>
        <w:rPr>
          <w:rFonts w:cs="Arial"/>
          <w:b/>
          <w:sz w:val="20"/>
          <w:szCs w:val="20"/>
        </w:rPr>
        <w:t>Nemovité objekty – využívání</w:t>
      </w:r>
    </w:p>
    <w:p w14:paraId="61E7048A" w14:textId="7D6DD58B" w:rsidR="00E22EAF" w:rsidRDefault="00AD717B" w:rsidP="00AD717B">
      <w:pPr>
        <w:spacing w:after="120" w:line="280" w:lineRule="atLeast"/>
        <w:ind w:left="227"/>
        <w:rPr>
          <w:rFonts w:cs="Arial"/>
          <w:sz w:val="20"/>
          <w:szCs w:val="20"/>
        </w:rPr>
      </w:pPr>
      <w:r w:rsidRPr="00AD717B">
        <w:rPr>
          <w:rFonts w:cs="Arial"/>
          <w:sz w:val="20"/>
          <w:szCs w:val="20"/>
        </w:rPr>
        <w:t>Ujednává se, že pojištění nemovitých objektů (budov, hal a staveb) se vztahuje také na škody vzniklé v důsledku pojistných nebezpečí na nemovitostech, které jsou využívány k jiným účelům, než ke kterým jsou zkolaudovány</w:t>
      </w:r>
    </w:p>
    <w:p w14:paraId="79A62489" w14:textId="77777777" w:rsidR="00E22EAF" w:rsidRDefault="00E22EAF">
      <w:pPr>
        <w:jc w:val="left"/>
        <w:rPr>
          <w:rFonts w:cs="Arial"/>
          <w:sz w:val="20"/>
          <w:szCs w:val="20"/>
        </w:rPr>
      </w:pPr>
      <w:r>
        <w:rPr>
          <w:rFonts w:cs="Arial"/>
          <w:sz w:val="20"/>
          <w:szCs w:val="20"/>
        </w:rPr>
        <w:br w:type="page"/>
      </w:r>
    </w:p>
    <w:p w14:paraId="4D883533" w14:textId="77777777" w:rsidR="00AD717B" w:rsidRPr="00AD717B" w:rsidRDefault="00AD717B" w:rsidP="00AD717B">
      <w:pPr>
        <w:spacing w:after="120" w:line="280" w:lineRule="atLeast"/>
        <w:ind w:left="227"/>
        <w:rPr>
          <w:rFonts w:cs="Arial"/>
          <w:sz w:val="20"/>
          <w:szCs w:val="20"/>
        </w:rPr>
      </w:pPr>
    </w:p>
    <w:p w14:paraId="1E49A634" w14:textId="3008ADE3" w:rsidR="002031B5" w:rsidRPr="002031B5" w:rsidRDefault="0060172E" w:rsidP="002031B5">
      <w:pPr>
        <w:pStyle w:val="Odstavecseseznamem"/>
        <w:numPr>
          <w:ilvl w:val="0"/>
          <w:numId w:val="17"/>
        </w:numPr>
        <w:spacing w:after="120" w:line="280" w:lineRule="atLeast"/>
        <w:ind w:left="227" w:firstLine="0"/>
        <w:rPr>
          <w:rFonts w:cs="Arial"/>
          <w:b/>
          <w:sz w:val="20"/>
          <w:szCs w:val="20"/>
        </w:rPr>
      </w:pPr>
      <w:r w:rsidRPr="0060172E">
        <w:rPr>
          <w:rFonts w:cs="Arial"/>
          <w:b/>
          <w:sz w:val="20"/>
          <w:szCs w:val="20"/>
        </w:rPr>
        <w:t>Přepětí vč.</w:t>
      </w:r>
      <w:r>
        <w:rPr>
          <w:rFonts w:cs="Arial"/>
          <w:b/>
          <w:sz w:val="20"/>
          <w:szCs w:val="20"/>
        </w:rPr>
        <w:t xml:space="preserve"> </w:t>
      </w:r>
      <w:r w:rsidRPr="0060172E">
        <w:rPr>
          <w:rFonts w:cs="Arial"/>
          <w:b/>
          <w:sz w:val="20"/>
          <w:szCs w:val="20"/>
        </w:rPr>
        <w:t>přepětí v důsledku nepřímého úderu blesku</w:t>
      </w:r>
    </w:p>
    <w:p w14:paraId="0A79CDF2" w14:textId="0CB47A70" w:rsidR="00450AC2" w:rsidRPr="002031B5" w:rsidRDefault="0057383E" w:rsidP="002031B5">
      <w:pPr>
        <w:spacing w:after="120" w:line="280" w:lineRule="atLeast"/>
        <w:ind w:left="227"/>
        <w:rPr>
          <w:rFonts w:cs="Arial"/>
          <w:sz w:val="20"/>
          <w:szCs w:val="20"/>
        </w:rPr>
      </w:pPr>
      <w:r>
        <w:rPr>
          <w:rFonts w:cs="Arial"/>
          <w:sz w:val="20"/>
          <w:szCs w:val="20"/>
        </w:rPr>
        <w:t>Ujednává se, že ú</w:t>
      </w:r>
      <w:r w:rsidR="00450AC2" w:rsidRPr="002031B5">
        <w:rPr>
          <w:rFonts w:cs="Arial"/>
          <w:sz w:val="20"/>
          <w:szCs w:val="20"/>
        </w:rPr>
        <w:t>derem blesku se rozumí také škoda vzniklá úderem blesku bez viditelných destrukčních účinků na věci nebo na budově. Úderem blesku je také zkrat nebo přepětí v elektrorozvodné nebo telekomunikační síti, k němuž došlo v důsledku působení blesku na tato vedení.</w:t>
      </w:r>
    </w:p>
    <w:p w14:paraId="7DDE611A" w14:textId="77777777" w:rsidR="002031B5" w:rsidRDefault="003D1592" w:rsidP="002031B5">
      <w:pPr>
        <w:pStyle w:val="Odstavecseseznamem"/>
        <w:numPr>
          <w:ilvl w:val="0"/>
          <w:numId w:val="17"/>
        </w:numPr>
        <w:spacing w:after="120" w:line="280" w:lineRule="atLeast"/>
        <w:ind w:left="227" w:firstLine="0"/>
        <w:rPr>
          <w:rFonts w:cs="Arial"/>
          <w:b/>
          <w:sz w:val="20"/>
          <w:szCs w:val="20"/>
        </w:rPr>
      </w:pPr>
      <w:r w:rsidRPr="002031B5">
        <w:rPr>
          <w:rFonts w:cs="Arial"/>
          <w:b/>
          <w:sz w:val="20"/>
          <w:szCs w:val="20"/>
        </w:rPr>
        <w:t>Sluneční kolektory</w:t>
      </w:r>
    </w:p>
    <w:p w14:paraId="57401862" w14:textId="77777777" w:rsidR="003D1592" w:rsidRPr="00B90A7C" w:rsidRDefault="002031B5" w:rsidP="002031B5">
      <w:pPr>
        <w:spacing w:after="120" w:line="280" w:lineRule="atLeast"/>
        <w:ind w:left="227"/>
        <w:rPr>
          <w:rFonts w:cs="Arial"/>
          <w:sz w:val="20"/>
          <w:szCs w:val="20"/>
        </w:rPr>
      </w:pPr>
      <w:r w:rsidRPr="002031B5">
        <w:rPr>
          <w:rFonts w:cs="Arial"/>
          <w:sz w:val="20"/>
          <w:szCs w:val="20"/>
        </w:rPr>
        <w:t xml:space="preserve">Sluneční kolektory </w:t>
      </w:r>
      <w:r w:rsidR="003D1592" w:rsidRPr="002031B5">
        <w:rPr>
          <w:rFonts w:cs="Arial"/>
          <w:sz w:val="20"/>
          <w:szCs w:val="20"/>
        </w:rPr>
        <w:t>nainstalované na budově jsou pojištěny jako součást stavby a vztahuje se na</w:t>
      </w:r>
      <w:r w:rsidR="003D1592" w:rsidRPr="00B90A7C">
        <w:rPr>
          <w:rFonts w:cs="Arial"/>
          <w:sz w:val="20"/>
          <w:szCs w:val="20"/>
        </w:rPr>
        <w:t xml:space="preserve"> ně jak pojištění živelní, tak rizika odcizení a vandalismu.</w:t>
      </w:r>
    </w:p>
    <w:p w14:paraId="50F43DD8" w14:textId="77777777" w:rsidR="003D1592" w:rsidRDefault="003D1592" w:rsidP="00B866DE">
      <w:pPr>
        <w:pStyle w:val="Odstavecseseznamem"/>
        <w:numPr>
          <w:ilvl w:val="0"/>
          <w:numId w:val="17"/>
        </w:numPr>
        <w:spacing w:after="120" w:line="280" w:lineRule="atLeast"/>
        <w:ind w:left="227" w:firstLine="0"/>
        <w:contextualSpacing w:val="0"/>
        <w:rPr>
          <w:rFonts w:cs="Arial"/>
          <w:sz w:val="20"/>
          <w:szCs w:val="20"/>
        </w:rPr>
      </w:pPr>
      <w:r w:rsidRPr="00B90A7C">
        <w:rPr>
          <w:rFonts w:cs="Arial"/>
          <w:sz w:val="20"/>
          <w:szCs w:val="20"/>
        </w:rPr>
        <w:t xml:space="preserve"> Pojistnou událostí je i ztráta pojištěné věci v příčinné souvislosti s pojistnou událostí pojištěnou touto pojistnou smlouvou, byla-li pojištěná věc pro případ této události pojištěna. </w:t>
      </w:r>
    </w:p>
    <w:p w14:paraId="44F563EE" w14:textId="77777777" w:rsidR="00A17610" w:rsidRDefault="00A17610" w:rsidP="00B866DE">
      <w:pPr>
        <w:pStyle w:val="Odstavecseseznamem"/>
        <w:numPr>
          <w:ilvl w:val="0"/>
          <w:numId w:val="17"/>
        </w:numPr>
        <w:spacing w:before="120" w:after="120" w:line="280" w:lineRule="atLeast"/>
        <w:ind w:left="227" w:firstLine="0"/>
        <w:contextualSpacing w:val="0"/>
        <w:rPr>
          <w:rFonts w:cs="Arial"/>
          <w:b/>
          <w:sz w:val="20"/>
          <w:szCs w:val="20"/>
        </w:rPr>
      </w:pPr>
      <w:r>
        <w:rPr>
          <w:rFonts w:cs="Arial"/>
          <w:b/>
          <w:sz w:val="20"/>
          <w:szCs w:val="20"/>
        </w:rPr>
        <w:t>Ujednání – parkovací automat</w:t>
      </w:r>
    </w:p>
    <w:p w14:paraId="150780D9" w14:textId="77777777" w:rsidR="00A17610" w:rsidRPr="00A17610" w:rsidRDefault="00A17610" w:rsidP="00A17610">
      <w:pPr>
        <w:spacing w:after="120" w:line="280" w:lineRule="atLeast"/>
        <w:ind w:left="227"/>
        <w:rPr>
          <w:rFonts w:cs="Arial"/>
          <w:sz w:val="20"/>
          <w:szCs w:val="20"/>
        </w:rPr>
      </w:pPr>
      <w:r w:rsidRPr="00A17610">
        <w:rPr>
          <w:rFonts w:cs="Arial"/>
          <w:sz w:val="20"/>
          <w:szCs w:val="20"/>
        </w:rPr>
        <w:t>Odchylně od příslušných pojistných podmínek se ujednává, že parkovací automat na mince se považuje za uzavřený prostor.</w:t>
      </w:r>
    </w:p>
    <w:p w14:paraId="482CFB1C" w14:textId="77777777" w:rsidR="0057383E" w:rsidRPr="0057383E" w:rsidRDefault="0057383E" w:rsidP="0057383E">
      <w:pPr>
        <w:pStyle w:val="Odstavecseseznamem"/>
        <w:numPr>
          <w:ilvl w:val="0"/>
          <w:numId w:val="17"/>
        </w:numPr>
        <w:spacing w:after="120" w:line="280" w:lineRule="atLeast"/>
        <w:ind w:left="227" w:firstLine="0"/>
        <w:rPr>
          <w:rFonts w:cs="Arial"/>
          <w:sz w:val="20"/>
          <w:szCs w:val="20"/>
        </w:rPr>
      </w:pPr>
      <w:r>
        <w:rPr>
          <w:rFonts w:cs="Arial"/>
          <w:b/>
          <w:sz w:val="20"/>
          <w:szCs w:val="20"/>
        </w:rPr>
        <w:t>Zachraňovací náklady</w:t>
      </w:r>
    </w:p>
    <w:p w14:paraId="00AA34DF" w14:textId="6DAC328A" w:rsidR="00450AC2" w:rsidRDefault="00450AC2" w:rsidP="0057383E">
      <w:pPr>
        <w:spacing w:after="120" w:line="280" w:lineRule="atLeast"/>
        <w:ind w:left="227"/>
        <w:rPr>
          <w:rFonts w:cs="Arial"/>
          <w:sz w:val="20"/>
          <w:szCs w:val="20"/>
        </w:rPr>
      </w:pPr>
      <w:r w:rsidRPr="0057383E">
        <w:rPr>
          <w:rFonts w:cs="Arial"/>
          <w:sz w:val="20"/>
          <w:szCs w:val="20"/>
        </w:rPr>
        <w:t xml:space="preserve">Pojistitel nahradí zachraňovací náklady maximálně do výše </w:t>
      </w:r>
      <w:proofErr w:type="gramStart"/>
      <w:r w:rsidRPr="0057383E">
        <w:rPr>
          <w:rFonts w:cs="Arial"/>
          <w:sz w:val="20"/>
          <w:szCs w:val="20"/>
        </w:rPr>
        <w:t>10%</w:t>
      </w:r>
      <w:proofErr w:type="gramEnd"/>
      <w:r w:rsidRPr="0057383E">
        <w:rPr>
          <w:rFonts w:cs="Arial"/>
          <w:sz w:val="20"/>
          <w:szCs w:val="20"/>
        </w:rPr>
        <w:t xml:space="preserve"> z horní hranice plnění sjednané pro pojištění, ze kterého hrozil vznik pojistné události nebo ze kterého nastala pojistná událost, </w:t>
      </w:r>
      <w:r w:rsidR="003D1592" w:rsidRPr="0057383E">
        <w:rPr>
          <w:rFonts w:cs="Arial"/>
          <w:sz w:val="20"/>
          <w:szCs w:val="20"/>
        </w:rPr>
        <w:br/>
      </w:r>
      <w:r w:rsidRPr="0057383E">
        <w:rPr>
          <w:rFonts w:cs="Arial"/>
          <w:sz w:val="20"/>
          <w:szCs w:val="20"/>
        </w:rPr>
        <w:t>s níž souvisí vynaložení zachraňovacích nákladů; toto omezení neplatí pro zachraňovací náklady, které byly vynaloženy na záchranu života nebo zdraví osob.</w:t>
      </w:r>
    </w:p>
    <w:p w14:paraId="1CBAFE5E" w14:textId="2A150F2F" w:rsidR="00967D6C" w:rsidRPr="00967D6C" w:rsidRDefault="0059611D" w:rsidP="00967D6C">
      <w:pPr>
        <w:pStyle w:val="Odstavecseseznamem"/>
        <w:numPr>
          <w:ilvl w:val="0"/>
          <w:numId w:val="17"/>
        </w:numPr>
        <w:spacing w:after="120" w:line="280" w:lineRule="atLeast"/>
        <w:ind w:left="227" w:firstLine="0"/>
        <w:rPr>
          <w:rFonts w:cs="Arial"/>
          <w:b/>
          <w:sz w:val="20"/>
          <w:szCs w:val="20"/>
        </w:rPr>
      </w:pPr>
      <w:r w:rsidRPr="00967D6C">
        <w:rPr>
          <w:rFonts w:cs="Arial"/>
          <w:b/>
          <w:sz w:val="20"/>
          <w:szCs w:val="20"/>
        </w:rPr>
        <w:t>Inflační doložka</w:t>
      </w:r>
    </w:p>
    <w:p w14:paraId="4CBD2E32" w14:textId="371508A8" w:rsidR="0059611D" w:rsidRPr="00967D6C" w:rsidRDefault="00967D6C" w:rsidP="00967D6C">
      <w:pPr>
        <w:spacing w:after="120" w:line="280" w:lineRule="atLeast"/>
        <w:ind w:left="227"/>
        <w:rPr>
          <w:rFonts w:cs="Arial"/>
          <w:sz w:val="20"/>
          <w:szCs w:val="20"/>
        </w:rPr>
      </w:pPr>
      <w:r w:rsidRPr="00967D6C">
        <w:rPr>
          <w:rFonts w:cs="Arial"/>
          <w:sz w:val="20"/>
          <w:szCs w:val="20"/>
        </w:rPr>
        <w:t>P</w:t>
      </w:r>
      <w:r w:rsidR="0059611D" w:rsidRPr="00967D6C">
        <w:rPr>
          <w:rFonts w:cs="Arial"/>
          <w:sz w:val="20"/>
          <w:szCs w:val="20"/>
        </w:rPr>
        <w:t xml:space="preserve">ojišťovna nebude namítat podpojištění, dojde-li v průběhu pojistného období k navýšení pojistných hodnot v důsledku inflace </w:t>
      </w:r>
      <w:r w:rsidR="00E22EAF">
        <w:rPr>
          <w:rFonts w:cs="Arial"/>
          <w:sz w:val="20"/>
          <w:szCs w:val="20"/>
        </w:rPr>
        <w:t>o méně</w:t>
      </w:r>
      <w:r w:rsidR="0059611D" w:rsidRPr="00967D6C">
        <w:rPr>
          <w:rFonts w:cs="Arial"/>
          <w:sz w:val="20"/>
          <w:szCs w:val="20"/>
        </w:rPr>
        <w:t xml:space="preserve"> než </w:t>
      </w:r>
      <w:proofErr w:type="gramStart"/>
      <w:r w:rsidR="0059611D" w:rsidRPr="00967D6C">
        <w:rPr>
          <w:rFonts w:cs="Arial"/>
          <w:sz w:val="20"/>
          <w:szCs w:val="20"/>
        </w:rPr>
        <w:t>1</w:t>
      </w:r>
      <w:r w:rsidR="006B3A44">
        <w:rPr>
          <w:rFonts w:cs="Arial"/>
          <w:sz w:val="20"/>
          <w:szCs w:val="20"/>
        </w:rPr>
        <w:t>5</w:t>
      </w:r>
      <w:r w:rsidR="0059611D" w:rsidRPr="00967D6C">
        <w:rPr>
          <w:rFonts w:cs="Arial"/>
          <w:sz w:val="20"/>
          <w:szCs w:val="20"/>
        </w:rPr>
        <w:t>%</w:t>
      </w:r>
      <w:proofErr w:type="gramEnd"/>
      <w:r w:rsidR="0059611D" w:rsidRPr="00967D6C">
        <w:rPr>
          <w:rFonts w:cs="Arial"/>
          <w:sz w:val="20"/>
          <w:szCs w:val="20"/>
        </w:rPr>
        <w:t>.</w:t>
      </w:r>
    </w:p>
    <w:p w14:paraId="10A21589" w14:textId="04F45273" w:rsidR="00967D6C" w:rsidRPr="00967D6C" w:rsidRDefault="00967D6C" w:rsidP="00967D6C">
      <w:pPr>
        <w:pStyle w:val="Odstavecseseznamem"/>
        <w:numPr>
          <w:ilvl w:val="0"/>
          <w:numId w:val="17"/>
        </w:numPr>
        <w:spacing w:after="120" w:line="280" w:lineRule="atLeast"/>
        <w:ind w:left="227" w:firstLine="0"/>
        <w:rPr>
          <w:rFonts w:cs="Arial"/>
          <w:b/>
          <w:sz w:val="20"/>
          <w:szCs w:val="20"/>
        </w:rPr>
      </w:pPr>
      <w:r>
        <w:rPr>
          <w:rFonts w:cs="Arial"/>
          <w:b/>
          <w:sz w:val="20"/>
          <w:szCs w:val="20"/>
        </w:rPr>
        <w:t>Pojistné plnění – sjednané spoluúčasti</w:t>
      </w:r>
    </w:p>
    <w:p w14:paraId="3520F100" w14:textId="79CDB3A9" w:rsidR="0059611D" w:rsidRDefault="0059611D" w:rsidP="00967D6C">
      <w:pPr>
        <w:spacing w:after="120" w:line="280" w:lineRule="atLeast"/>
        <w:ind w:left="227"/>
        <w:rPr>
          <w:rFonts w:cs="Arial"/>
          <w:sz w:val="20"/>
          <w:szCs w:val="20"/>
        </w:rPr>
      </w:pPr>
      <w:r>
        <w:rPr>
          <w:rFonts w:cs="Arial"/>
          <w:sz w:val="20"/>
          <w:szCs w:val="20"/>
        </w:rPr>
        <w:t>P</w:t>
      </w:r>
      <w:r w:rsidRPr="0059611D">
        <w:rPr>
          <w:rFonts w:cs="Arial"/>
          <w:sz w:val="20"/>
          <w:szCs w:val="20"/>
        </w:rPr>
        <w:t>ojistné plnění poskytované uchazečem nemůže být omezeno jakýmikoliv jinými spoluúčastmi než těmi, které jsou výslovně uvedeny v této zadávací dokumentaci. Výše omezení pojistného plnění těmito spoluúčastmi je nejvyšší přípustná.</w:t>
      </w:r>
    </w:p>
    <w:p w14:paraId="19628900" w14:textId="56172395" w:rsidR="00215F99" w:rsidRPr="00967D6C" w:rsidRDefault="00215F99" w:rsidP="00215F99">
      <w:pPr>
        <w:pStyle w:val="Odstavecseseznamem"/>
        <w:numPr>
          <w:ilvl w:val="0"/>
          <w:numId w:val="17"/>
        </w:numPr>
        <w:spacing w:after="120" w:line="280" w:lineRule="atLeast"/>
        <w:ind w:left="227" w:firstLine="0"/>
        <w:rPr>
          <w:rFonts w:cs="Arial"/>
          <w:b/>
          <w:sz w:val="20"/>
          <w:szCs w:val="20"/>
        </w:rPr>
      </w:pPr>
      <w:r>
        <w:rPr>
          <w:rFonts w:cs="Arial"/>
          <w:b/>
          <w:sz w:val="20"/>
          <w:szCs w:val="20"/>
        </w:rPr>
        <w:t>Zpětné vystoupení vody z kanalizačního potrubí</w:t>
      </w:r>
    </w:p>
    <w:p w14:paraId="742E8057" w14:textId="4508D944" w:rsidR="00215F99" w:rsidRDefault="00215F99" w:rsidP="00215F99">
      <w:pPr>
        <w:spacing w:after="120" w:line="280" w:lineRule="atLeast"/>
        <w:ind w:left="227"/>
        <w:rPr>
          <w:rFonts w:cs="Arial"/>
          <w:sz w:val="20"/>
          <w:szCs w:val="20"/>
        </w:rPr>
      </w:pPr>
      <w:r w:rsidRPr="00215F99">
        <w:rPr>
          <w:rFonts w:cs="Arial"/>
          <w:sz w:val="20"/>
          <w:szCs w:val="20"/>
        </w:rPr>
        <w:t>Ujednává se, že pojištění „záplava, povodeň“ se vztahuje i na škody způsobené zpětným vystoupením vody z</w:t>
      </w:r>
      <w:r>
        <w:rPr>
          <w:rFonts w:cs="Arial"/>
          <w:sz w:val="20"/>
          <w:szCs w:val="20"/>
        </w:rPr>
        <w:t xml:space="preserve"> </w:t>
      </w:r>
      <w:r w:rsidRPr="00215F99">
        <w:rPr>
          <w:rFonts w:cs="Arial"/>
          <w:sz w:val="20"/>
          <w:szCs w:val="20"/>
        </w:rPr>
        <w:t>kanalizačního potrubí.</w:t>
      </w:r>
    </w:p>
    <w:p w14:paraId="5D2AA542" w14:textId="77777777" w:rsidR="00F57213" w:rsidRPr="00215F99" w:rsidRDefault="00A473EA" w:rsidP="00215F99">
      <w:pPr>
        <w:pStyle w:val="Odstavecseseznamem"/>
        <w:numPr>
          <w:ilvl w:val="0"/>
          <w:numId w:val="17"/>
        </w:numPr>
        <w:spacing w:after="120" w:line="280" w:lineRule="atLeast"/>
        <w:ind w:left="227" w:firstLine="0"/>
        <w:rPr>
          <w:rFonts w:cs="Arial"/>
          <w:b/>
          <w:sz w:val="20"/>
          <w:szCs w:val="20"/>
        </w:rPr>
      </w:pPr>
      <w:r w:rsidRPr="00215F99">
        <w:rPr>
          <w:rFonts w:cs="Arial"/>
          <w:b/>
          <w:sz w:val="20"/>
          <w:szCs w:val="20"/>
        </w:rPr>
        <w:t>Smluvní ujednání k p</w:t>
      </w:r>
      <w:r w:rsidR="00F57213" w:rsidRPr="00215F99">
        <w:rPr>
          <w:rFonts w:cs="Arial"/>
          <w:b/>
          <w:sz w:val="20"/>
          <w:szCs w:val="20"/>
        </w:rPr>
        <w:t>ojištění skel:</w:t>
      </w:r>
    </w:p>
    <w:p w14:paraId="4812AB25" w14:textId="77777777" w:rsidR="00F57213" w:rsidRPr="00F57213" w:rsidRDefault="00F57213" w:rsidP="00F57213">
      <w:pPr>
        <w:spacing w:after="120" w:line="280" w:lineRule="atLeast"/>
        <w:ind w:left="567" w:hanging="283"/>
        <w:rPr>
          <w:rFonts w:cs="Arial"/>
          <w:sz w:val="20"/>
          <w:szCs w:val="20"/>
        </w:rPr>
      </w:pPr>
      <w:r>
        <w:rPr>
          <w:rFonts w:cs="Arial"/>
          <w:sz w:val="20"/>
          <w:szCs w:val="20"/>
        </w:rPr>
        <w:t xml:space="preserve">a) </w:t>
      </w:r>
      <w:r w:rsidRPr="00F57213">
        <w:rPr>
          <w:rFonts w:cs="Arial"/>
          <w:sz w:val="20"/>
          <w:szCs w:val="20"/>
        </w:rPr>
        <w:t>Pojištění se vztahuje i na nalepené neodnímatelné snímače zabezpečovacích zařízení, nalepené fólie, nápisy, malby nebo jiné výzdoby, jsou-li součástí pojištěného skla.</w:t>
      </w:r>
    </w:p>
    <w:p w14:paraId="0F3C7FF0" w14:textId="77777777" w:rsidR="00F57213" w:rsidRDefault="00F57213" w:rsidP="00F57213">
      <w:pPr>
        <w:spacing w:after="120" w:line="280" w:lineRule="atLeast"/>
        <w:ind w:left="567" w:hanging="283"/>
        <w:rPr>
          <w:rFonts w:cs="Arial"/>
          <w:sz w:val="20"/>
          <w:szCs w:val="20"/>
        </w:rPr>
      </w:pPr>
      <w:r>
        <w:rPr>
          <w:rFonts w:cs="Arial"/>
          <w:sz w:val="20"/>
          <w:szCs w:val="20"/>
        </w:rPr>
        <w:t>b) P</w:t>
      </w:r>
      <w:r w:rsidRPr="00F57213">
        <w:rPr>
          <w:rFonts w:cs="Arial"/>
          <w:sz w:val="20"/>
          <w:szCs w:val="20"/>
        </w:rPr>
        <w:t>ojištění se vztahuje i na vnější osvětlení, světelné reklamy a světelné nápisy včetně jejich elektrické instalace a nosné konstrukce</w:t>
      </w:r>
    </w:p>
    <w:p w14:paraId="1F04D755" w14:textId="4823B53F" w:rsidR="00A473EA" w:rsidRDefault="00A473EA" w:rsidP="00F94B58">
      <w:pPr>
        <w:spacing w:after="120" w:line="280" w:lineRule="atLeast"/>
        <w:ind w:left="567" w:hanging="283"/>
        <w:rPr>
          <w:rFonts w:cs="Arial"/>
          <w:sz w:val="20"/>
          <w:szCs w:val="20"/>
        </w:rPr>
      </w:pPr>
      <w:r>
        <w:rPr>
          <w:rFonts w:cs="Arial"/>
          <w:sz w:val="20"/>
          <w:szCs w:val="20"/>
        </w:rPr>
        <w:t xml:space="preserve">c) </w:t>
      </w:r>
      <w:r w:rsidRPr="00A473EA">
        <w:rPr>
          <w:rFonts w:cs="Arial"/>
          <w:sz w:val="20"/>
          <w:szCs w:val="20"/>
        </w:rPr>
        <w:t>Pojištění se vztahuje i na skleněné pulty, vitríny a skleněné stěny uvnitř budovy</w:t>
      </w:r>
    </w:p>
    <w:p w14:paraId="38EA9D05" w14:textId="199AEC86" w:rsidR="00F94B58" w:rsidRDefault="00F94B58" w:rsidP="00F94B58">
      <w:pPr>
        <w:spacing w:after="120" w:line="280" w:lineRule="atLeast"/>
        <w:ind w:left="567" w:hanging="283"/>
        <w:rPr>
          <w:rFonts w:cs="Arial"/>
          <w:sz w:val="20"/>
          <w:szCs w:val="20"/>
        </w:rPr>
      </w:pPr>
      <w:r>
        <w:rPr>
          <w:rFonts w:cs="Arial"/>
          <w:sz w:val="20"/>
          <w:szCs w:val="20"/>
        </w:rPr>
        <w:t>d) P</w:t>
      </w:r>
      <w:r w:rsidRPr="00F94B58">
        <w:rPr>
          <w:rFonts w:cs="Arial"/>
          <w:sz w:val="20"/>
          <w:szCs w:val="20"/>
        </w:rPr>
        <w:t xml:space="preserve">ojištění </w:t>
      </w:r>
      <w:r>
        <w:rPr>
          <w:rFonts w:cs="Arial"/>
          <w:sz w:val="20"/>
          <w:szCs w:val="20"/>
        </w:rPr>
        <w:t xml:space="preserve">se </w:t>
      </w:r>
      <w:r w:rsidRPr="00F94B58">
        <w:rPr>
          <w:rFonts w:cs="Arial"/>
          <w:sz w:val="20"/>
          <w:szCs w:val="20"/>
        </w:rPr>
        <w:t xml:space="preserve">vztahuje i na obyčejná skla, jejichž tloušťka je </w:t>
      </w:r>
      <w:r w:rsidR="006B3A44">
        <w:rPr>
          <w:rFonts w:cs="Arial"/>
          <w:sz w:val="20"/>
          <w:szCs w:val="20"/>
        </w:rPr>
        <w:t>min.</w:t>
      </w:r>
      <w:r w:rsidRPr="00F94B58">
        <w:rPr>
          <w:rFonts w:cs="Arial"/>
          <w:sz w:val="20"/>
          <w:szCs w:val="20"/>
        </w:rPr>
        <w:t>3 mm</w:t>
      </w:r>
    </w:p>
    <w:p w14:paraId="0070ADF1" w14:textId="5D5264C7" w:rsidR="00D90EC5" w:rsidRDefault="00AD717B" w:rsidP="00F94B58">
      <w:pPr>
        <w:spacing w:after="120" w:line="280" w:lineRule="atLeast"/>
        <w:ind w:left="567" w:hanging="283"/>
        <w:rPr>
          <w:rFonts w:cs="Arial"/>
          <w:sz w:val="20"/>
          <w:szCs w:val="20"/>
        </w:rPr>
      </w:pPr>
      <w:r>
        <w:rPr>
          <w:rFonts w:cs="Arial"/>
          <w:sz w:val="20"/>
          <w:szCs w:val="20"/>
        </w:rPr>
        <w:t>e)</w:t>
      </w:r>
      <w:r w:rsidR="00F25EF0">
        <w:rPr>
          <w:rFonts w:cs="Arial"/>
          <w:sz w:val="20"/>
          <w:szCs w:val="20"/>
        </w:rPr>
        <w:t xml:space="preserve"> </w:t>
      </w:r>
      <w:r w:rsidR="00F25EF0" w:rsidRPr="00F25EF0">
        <w:rPr>
          <w:rFonts w:cs="Arial"/>
          <w:sz w:val="20"/>
          <w:szCs w:val="20"/>
        </w:rPr>
        <w:t>Ujednává se, že pojištění skel se v rozsahu sjednaných pojistných nebezpečí vztahuje rovněž na rámy skleněných oken a rámy skleněných dveří, včetně lišt</w:t>
      </w:r>
    </w:p>
    <w:p w14:paraId="3CF11736" w14:textId="77777777" w:rsidR="00D90EC5" w:rsidRDefault="00D90EC5">
      <w:pPr>
        <w:jc w:val="left"/>
        <w:rPr>
          <w:rFonts w:cs="Arial"/>
          <w:sz w:val="20"/>
          <w:szCs w:val="20"/>
        </w:rPr>
      </w:pPr>
      <w:r>
        <w:rPr>
          <w:rFonts w:cs="Arial"/>
          <w:sz w:val="20"/>
          <w:szCs w:val="20"/>
        </w:rPr>
        <w:br w:type="page"/>
      </w:r>
    </w:p>
    <w:p w14:paraId="29C09CF6" w14:textId="77777777" w:rsidR="00AD717B" w:rsidRDefault="00AD717B" w:rsidP="00F94B58">
      <w:pPr>
        <w:spacing w:after="120" w:line="280" w:lineRule="atLeast"/>
        <w:ind w:left="567" w:hanging="283"/>
        <w:rPr>
          <w:rFonts w:cs="Arial"/>
          <w:sz w:val="20"/>
          <w:szCs w:val="20"/>
        </w:rPr>
      </w:pPr>
    </w:p>
    <w:p w14:paraId="31829281" w14:textId="77777777" w:rsidR="00F25EF0" w:rsidRPr="00E05E30" w:rsidRDefault="00F25EF0" w:rsidP="00F25EF0">
      <w:pPr>
        <w:pStyle w:val="Odstavecseseznamem"/>
        <w:numPr>
          <w:ilvl w:val="0"/>
          <w:numId w:val="17"/>
        </w:numPr>
        <w:spacing w:after="120" w:line="280" w:lineRule="atLeast"/>
        <w:ind w:left="227" w:firstLine="0"/>
        <w:rPr>
          <w:rFonts w:cs="Arial"/>
          <w:b/>
          <w:sz w:val="20"/>
          <w:szCs w:val="20"/>
        </w:rPr>
      </w:pPr>
      <w:r w:rsidRPr="00E05E30">
        <w:rPr>
          <w:rFonts w:cs="Arial"/>
          <w:b/>
          <w:sz w:val="20"/>
          <w:szCs w:val="20"/>
        </w:rPr>
        <w:t>Elektronika</w:t>
      </w:r>
    </w:p>
    <w:p w14:paraId="793B1F00" w14:textId="77777777" w:rsidR="00F25EF0" w:rsidRDefault="00F25EF0" w:rsidP="00F25EF0">
      <w:pPr>
        <w:spacing w:after="120" w:line="280" w:lineRule="atLeast"/>
        <w:ind w:left="227"/>
        <w:rPr>
          <w:rFonts w:cs="Arial"/>
          <w:sz w:val="20"/>
          <w:szCs w:val="20"/>
        </w:rPr>
      </w:pPr>
      <w:r w:rsidRPr="00A473EA">
        <w:rPr>
          <w:rFonts w:cs="Arial"/>
          <w:sz w:val="20"/>
          <w:szCs w:val="20"/>
        </w:rPr>
        <w:t>Pojištění se vztahuje i na zařízení, jejichž stáří v době vzniku škody přesáhlo 5 let</w:t>
      </w:r>
      <w:r>
        <w:rPr>
          <w:rFonts w:cs="Arial"/>
          <w:sz w:val="20"/>
          <w:szCs w:val="20"/>
        </w:rPr>
        <w:t>.</w:t>
      </w:r>
    </w:p>
    <w:p w14:paraId="7014EC35" w14:textId="77777777" w:rsidR="00100FAA" w:rsidRPr="00E05E30" w:rsidRDefault="00100FAA" w:rsidP="00100FAA">
      <w:pPr>
        <w:pStyle w:val="Odstavecseseznamem"/>
        <w:numPr>
          <w:ilvl w:val="0"/>
          <w:numId w:val="17"/>
        </w:numPr>
        <w:spacing w:after="120" w:line="280" w:lineRule="atLeast"/>
        <w:ind w:left="227" w:firstLine="0"/>
        <w:rPr>
          <w:rFonts w:cs="Arial"/>
          <w:b/>
          <w:sz w:val="20"/>
          <w:szCs w:val="20"/>
        </w:rPr>
      </w:pPr>
      <w:r w:rsidRPr="00E05E30">
        <w:rPr>
          <w:rFonts w:cs="Arial"/>
          <w:b/>
          <w:sz w:val="20"/>
          <w:szCs w:val="20"/>
        </w:rPr>
        <w:t>Elektronika</w:t>
      </w:r>
      <w:r>
        <w:rPr>
          <w:rFonts w:cs="Arial"/>
          <w:b/>
          <w:sz w:val="20"/>
          <w:szCs w:val="20"/>
        </w:rPr>
        <w:t xml:space="preserve"> – mobilní telefony, tablety, fotoaparáty</w:t>
      </w:r>
    </w:p>
    <w:p w14:paraId="6DB69D1F" w14:textId="1CCA49B3" w:rsidR="00100FAA" w:rsidRDefault="00100FAA" w:rsidP="00100FAA">
      <w:pPr>
        <w:spacing w:after="120" w:line="280" w:lineRule="atLeast"/>
        <w:ind w:left="227"/>
        <w:rPr>
          <w:rFonts w:cs="Arial"/>
          <w:sz w:val="20"/>
          <w:szCs w:val="20"/>
        </w:rPr>
      </w:pPr>
      <w:r w:rsidRPr="003E35C5">
        <w:rPr>
          <w:rFonts w:cs="Arial"/>
          <w:sz w:val="20"/>
          <w:szCs w:val="20"/>
        </w:rPr>
        <w:t>Ujednává se, že se pojištění vztahuje rovněž na poškození nebo zničení mobilního telefonu, tabletu nebo fotoaparátu</w:t>
      </w:r>
      <w:r w:rsidR="00D90EC5">
        <w:rPr>
          <w:rFonts w:cs="Arial"/>
          <w:sz w:val="20"/>
          <w:szCs w:val="20"/>
        </w:rPr>
        <w:t xml:space="preserve"> do dvou let jejich stáří</w:t>
      </w:r>
      <w:r w:rsidRPr="003E35C5">
        <w:rPr>
          <w:rFonts w:cs="Arial"/>
          <w:sz w:val="20"/>
          <w:szCs w:val="20"/>
        </w:rPr>
        <w:t xml:space="preserve">, a to včetně příslušenství k nim náležícího. Pojištění těchto předmětů se sjednává s ročním limitem pojistného plnění </w:t>
      </w:r>
      <w:r w:rsidR="00D90EC5">
        <w:rPr>
          <w:rFonts w:cs="Arial"/>
          <w:sz w:val="20"/>
          <w:szCs w:val="20"/>
        </w:rPr>
        <w:t>2</w:t>
      </w:r>
      <w:r w:rsidRPr="003E35C5">
        <w:rPr>
          <w:rFonts w:cs="Arial"/>
          <w:sz w:val="20"/>
          <w:szCs w:val="20"/>
        </w:rPr>
        <w:t>00 000 Kč.</w:t>
      </w:r>
    </w:p>
    <w:p w14:paraId="56847A14" w14:textId="77777777" w:rsidR="00E05E30" w:rsidRPr="00E05E30" w:rsidRDefault="00001852" w:rsidP="00E05E30">
      <w:pPr>
        <w:pStyle w:val="Odstavecseseznamem"/>
        <w:numPr>
          <w:ilvl w:val="0"/>
          <w:numId w:val="17"/>
        </w:numPr>
        <w:spacing w:after="120" w:line="280" w:lineRule="atLeast"/>
        <w:ind w:left="227" w:firstLine="0"/>
        <w:rPr>
          <w:rFonts w:cs="Arial"/>
          <w:b/>
          <w:sz w:val="20"/>
          <w:szCs w:val="20"/>
        </w:rPr>
      </w:pPr>
      <w:r w:rsidRPr="00E05E30">
        <w:rPr>
          <w:rFonts w:cs="Arial"/>
          <w:b/>
          <w:sz w:val="20"/>
          <w:szCs w:val="20"/>
        </w:rPr>
        <w:t>Stroje</w:t>
      </w:r>
    </w:p>
    <w:p w14:paraId="334C2317" w14:textId="751EB30B" w:rsidR="00A473EA" w:rsidRDefault="00E05E30" w:rsidP="00E05E30">
      <w:pPr>
        <w:spacing w:after="120" w:line="280" w:lineRule="atLeast"/>
        <w:ind w:left="227"/>
        <w:rPr>
          <w:rFonts w:cs="Arial"/>
          <w:sz w:val="20"/>
          <w:szCs w:val="20"/>
        </w:rPr>
      </w:pPr>
      <w:r w:rsidRPr="00A473EA">
        <w:rPr>
          <w:rFonts w:cs="Arial"/>
          <w:sz w:val="20"/>
          <w:szCs w:val="20"/>
        </w:rPr>
        <w:t>P</w:t>
      </w:r>
      <w:r w:rsidR="00A473EA" w:rsidRPr="00A473EA">
        <w:rPr>
          <w:rFonts w:cs="Arial"/>
          <w:sz w:val="20"/>
          <w:szCs w:val="20"/>
        </w:rPr>
        <w:t xml:space="preserve">ojištění se vztahuje i na zařízení, jejichž stáří v době vzniku škody </w:t>
      </w:r>
      <w:r w:rsidR="008210FA">
        <w:rPr>
          <w:rFonts w:cs="Arial"/>
          <w:sz w:val="20"/>
          <w:szCs w:val="20"/>
        </w:rPr>
        <w:t>ne</w:t>
      </w:r>
      <w:r w:rsidR="00A473EA" w:rsidRPr="00A473EA">
        <w:rPr>
          <w:rFonts w:cs="Arial"/>
          <w:sz w:val="20"/>
          <w:szCs w:val="20"/>
        </w:rPr>
        <w:t xml:space="preserve">přesáhlo </w:t>
      </w:r>
      <w:r w:rsidR="008210FA">
        <w:rPr>
          <w:rFonts w:cs="Arial"/>
          <w:sz w:val="20"/>
          <w:szCs w:val="20"/>
        </w:rPr>
        <w:t>20</w:t>
      </w:r>
      <w:r w:rsidR="00A473EA" w:rsidRPr="00A473EA">
        <w:rPr>
          <w:rFonts w:cs="Arial"/>
          <w:sz w:val="20"/>
          <w:szCs w:val="20"/>
        </w:rPr>
        <w:t xml:space="preserve"> let</w:t>
      </w:r>
      <w:r>
        <w:rPr>
          <w:rFonts w:cs="Arial"/>
          <w:sz w:val="20"/>
          <w:szCs w:val="20"/>
        </w:rPr>
        <w:t>.</w:t>
      </w:r>
    </w:p>
    <w:p w14:paraId="32A0D43E" w14:textId="1343E6E3" w:rsidR="00F25EF0" w:rsidRPr="00E05E30" w:rsidRDefault="00F25EF0" w:rsidP="00F25EF0">
      <w:pPr>
        <w:pStyle w:val="Odstavecseseznamem"/>
        <w:numPr>
          <w:ilvl w:val="0"/>
          <w:numId w:val="17"/>
        </w:numPr>
        <w:spacing w:after="120" w:line="280" w:lineRule="atLeast"/>
        <w:ind w:left="227" w:firstLine="0"/>
        <w:rPr>
          <w:rFonts w:cs="Arial"/>
          <w:b/>
          <w:sz w:val="20"/>
          <w:szCs w:val="20"/>
        </w:rPr>
      </w:pPr>
      <w:r w:rsidRPr="00E05E30">
        <w:rPr>
          <w:rFonts w:cs="Arial"/>
          <w:b/>
          <w:sz w:val="20"/>
          <w:szCs w:val="20"/>
        </w:rPr>
        <w:t>Stroje</w:t>
      </w:r>
      <w:r>
        <w:rPr>
          <w:rFonts w:cs="Arial"/>
          <w:b/>
          <w:sz w:val="20"/>
          <w:szCs w:val="20"/>
        </w:rPr>
        <w:t xml:space="preserve"> – elektronické prvky</w:t>
      </w:r>
    </w:p>
    <w:p w14:paraId="5EFB2570" w14:textId="15C76E9E" w:rsidR="00F25EF0" w:rsidRDefault="00F25EF0" w:rsidP="00F25EF0">
      <w:pPr>
        <w:spacing w:after="120" w:line="280" w:lineRule="atLeast"/>
        <w:ind w:left="227"/>
        <w:rPr>
          <w:rFonts w:cs="Arial"/>
          <w:sz w:val="20"/>
          <w:szCs w:val="20"/>
        </w:rPr>
      </w:pPr>
      <w:r w:rsidRPr="00F25EF0">
        <w:rPr>
          <w:rFonts w:cs="Arial"/>
          <w:sz w:val="20"/>
          <w:szCs w:val="20"/>
        </w:rPr>
        <w:t>Pojištění se vztahuje i na poškození či zničení elektronických prvků a součástek strojních zařízení, nosičů dat a záznamů na nich. V případě poškození nebo zničení záznamů na nosičích dat poskytne pojistitel úhradu účelně vynaložených nákladu na jejich obnovení.</w:t>
      </w:r>
    </w:p>
    <w:p w14:paraId="56420CD4" w14:textId="42214BF8" w:rsidR="00F25EF0" w:rsidRPr="00E05E30" w:rsidRDefault="00F25EF0" w:rsidP="00F25EF0">
      <w:pPr>
        <w:pStyle w:val="Odstavecseseznamem"/>
        <w:numPr>
          <w:ilvl w:val="0"/>
          <w:numId w:val="17"/>
        </w:numPr>
        <w:spacing w:after="120" w:line="280" w:lineRule="atLeast"/>
        <w:ind w:left="227" w:firstLine="0"/>
        <w:rPr>
          <w:rFonts w:cs="Arial"/>
          <w:b/>
          <w:sz w:val="20"/>
          <w:szCs w:val="20"/>
        </w:rPr>
      </w:pPr>
      <w:r w:rsidRPr="00E05E30">
        <w:rPr>
          <w:rFonts w:cs="Arial"/>
          <w:b/>
          <w:sz w:val="20"/>
          <w:szCs w:val="20"/>
        </w:rPr>
        <w:t>Stroje</w:t>
      </w:r>
      <w:r>
        <w:rPr>
          <w:rFonts w:cs="Arial"/>
          <w:b/>
          <w:sz w:val="20"/>
          <w:szCs w:val="20"/>
        </w:rPr>
        <w:t xml:space="preserve"> – provozní kapaliny</w:t>
      </w:r>
    </w:p>
    <w:p w14:paraId="3EF30C3D" w14:textId="35C7ADE0" w:rsidR="00F25EF0" w:rsidRDefault="00F25EF0" w:rsidP="00F25EF0">
      <w:pPr>
        <w:spacing w:after="120" w:line="280" w:lineRule="atLeast"/>
        <w:ind w:left="227"/>
        <w:rPr>
          <w:rFonts w:cs="Arial"/>
          <w:sz w:val="20"/>
          <w:szCs w:val="20"/>
        </w:rPr>
      </w:pPr>
      <w:r w:rsidRPr="00F25EF0">
        <w:rPr>
          <w:rFonts w:cs="Arial"/>
          <w:sz w:val="20"/>
          <w:szCs w:val="20"/>
        </w:rPr>
        <w:t xml:space="preserve">Pojištění se vztahuje i na poškození, zničení či znehodnocení provozních kapalin a náplní, jestliže </w:t>
      </w:r>
      <w:r w:rsidR="008210FA">
        <w:rPr>
          <w:rFonts w:cs="Arial"/>
          <w:sz w:val="20"/>
          <w:szCs w:val="20"/>
        </w:rPr>
        <w:br/>
      </w:r>
      <w:r w:rsidRPr="00F25EF0">
        <w:rPr>
          <w:rFonts w:cs="Arial"/>
          <w:sz w:val="20"/>
          <w:szCs w:val="20"/>
        </w:rPr>
        <w:t>k nim došlo v souvislosti s pojistnou událostí na pojištěném strojním zařízení.</w:t>
      </w:r>
    </w:p>
    <w:p w14:paraId="35EB2970" w14:textId="7B5BF2B5" w:rsidR="00F25EF0" w:rsidRPr="00E05E30" w:rsidRDefault="00F25EF0" w:rsidP="00F25EF0">
      <w:pPr>
        <w:pStyle w:val="Odstavecseseznamem"/>
        <w:numPr>
          <w:ilvl w:val="0"/>
          <w:numId w:val="17"/>
        </w:numPr>
        <w:spacing w:after="120" w:line="280" w:lineRule="atLeast"/>
        <w:ind w:left="227" w:firstLine="0"/>
        <w:rPr>
          <w:rFonts w:cs="Arial"/>
          <w:b/>
          <w:sz w:val="20"/>
          <w:szCs w:val="20"/>
        </w:rPr>
      </w:pPr>
      <w:r w:rsidRPr="00E05E30">
        <w:rPr>
          <w:rFonts w:cs="Arial"/>
          <w:b/>
          <w:sz w:val="20"/>
          <w:szCs w:val="20"/>
        </w:rPr>
        <w:t>Stroje</w:t>
      </w:r>
      <w:r>
        <w:rPr>
          <w:rFonts w:cs="Arial"/>
          <w:b/>
          <w:sz w:val="20"/>
          <w:szCs w:val="20"/>
        </w:rPr>
        <w:t xml:space="preserve"> – přerušení dodávek médií</w:t>
      </w:r>
    </w:p>
    <w:p w14:paraId="19A17147" w14:textId="2E6D3C66" w:rsidR="00F25EF0" w:rsidRDefault="00F25EF0" w:rsidP="00F25EF0">
      <w:pPr>
        <w:spacing w:after="120" w:line="280" w:lineRule="atLeast"/>
        <w:ind w:left="227"/>
        <w:rPr>
          <w:rFonts w:cs="Arial"/>
          <w:sz w:val="20"/>
          <w:szCs w:val="20"/>
        </w:rPr>
      </w:pPr>
      <w:r w:rsidRPr="00F25EF0">
        <w:rPr>
          <w:rFonts w:cs="Arial"/>
          <w:sz w:val="20"/>
          <w:szCs w:val="20"/>
        </w:rPr>
        <w:t>Pojištění se vztahuje také na hmotné škody způsobené na pojištěném stroji výpadkem nebo přerušením dodávky plynu, vody, elektrické energie nebo jiného média (zejména způsobené přerušením nebo zastavením provozu stroje, ať již částečného nebo úplného).</w:t>
      </w:r>
    </w:p>
    <w:p w14:paraId="0AEAEA52" w14:textId="77777777" w:rsidR="008142CA" w:rsidRPr="008142CA" w:rsidRDefault="008142CA" w:rsidP="00B866DE">
      <w:pPr>
        <w:pStyle w:val="Odstavecseseznamem"/>
        <w:numPr>
          <w:ilvl w:val="0"/>
          <w:numId w:val="17"/>
        </w:numPr>
        <w:spacing w:before="120" w:after="120" w:line="280" w:lineRule="atLeast"/>
        <w:ind w:left="227" w:firstLine="0"/>
        <w:contextualSpacing w:val="0"/>
        <w:rPr>
          <w:rFonts w:cs="Arial"/>
          <w:b/>
          <w:sz w:val="20"/>
          <w:szCs w:val="20"/>
        </w:rPr>
      </w:pPr>
      <w:r w:rsidRPr="008142CA">
        <w:rPr>
          <w:rFonts w:cs="Arial"/>
          <w:b/>
          <w:sz w:val="20"/>
          <w:szCs w:val="20"/>
        </w:rPr>
        <w:t>Jízdní kola</w:t>
      </w:r>
    </w:p>
    <w:p w14:paraId="712C11C5" w14:textId="77777777" w:rsidR="008142CA" w:rsidRDefault="008142CA" w:rsidP="00B866DE">
      <w:pPr>
        <w:pStyle w:val="Odstavecseseznamem"/>
        <w:spacing w:after="120" w:line="280" w:lineRule="atLeast"/>
        <w:ind w:left="227"/>
        <w:contextualSpacing w:val="0"/>
        <w:rPr>
          <w:rFonts w:cs="Arial"/>
          <w:sz w:val="20"/>
          <w:szCs w:val="20"/>
        </w:rPr>
      </w:pPr>
      <w:r w:rsidRPr="00761D1D">
        <w:rPr>
          <w:rFonts w:cs="Arial"/>
          <w:sz w:val="20"/>
          <w:szCs w:val="20"/>
        </w:rPr>
        <w:t>Místem pojištění je</w:t>
      </w:r>
      <w:r>
        <w:rPr>
          <w:rFonts w:cs="Arial"/>
          <w:sz w:val="20"/>
          <w:szCs w:val="20"/>
        </w:rPr>
        <w:t xml:space="preserve"> území České republiky. Jízdní kola</w:t>
      </w:r>
      <w:r w:rsidRPr="00761D1D">
        <w:rPr>
          <w:rFonts w:cs="Arial"/>
          <w:sz w:val="20"/>
          <w:szCs w:val="20"/>
        </w:rPr>
        <w:t xml:space="preserve"> </w:t>
      </w:r>
      <w:r>
        <w:rPr>
          <w:rFonts w:cs="Arial"/>
          <w:sz w:val="20"/>
          <w:szCs w:val="20"/>
        </w:rPr>
        <w:t>jsou uložena na místě</w:t>
      </w:r>
      <w:r w:rsidRPr="00761D1D">
        <w:rPr>
          <w:rFonts w:cs="Arial"/>
          <w:sz w:val="20"/>
          <w:szCs w:val="20"/>
        </w:rPr>
        <w:t xml:space="preserve"> určené</w:t>
      </w:r>
      <w:r>
        <w:rPr>
          <w:rFonts w:cs="Arial"/>
          <w:sz w:val="20"/>
          <w:szCs w:val="20"/>
        </w:rPr>
        <w:t>m</w:t>
      </w:r>
      <w:r w:rsidRPr="00761D1D">
        <w:rPr>
          <w:rFonts w:cs="Arial"/>
          <w:sz w:val="20"/>
          <w:szCs w:val="20"/>
        </w:rPr>
        <w:t xml:space="preserve"> nebo obvyklé</w:t>
      </w:r>
      <w:r>
        <w:rPr>
          <w:rFonts w:cs="Arial"/>
          <w:sz w:val="20"/>
          <w:szCs w:val="20"/>
        </w:rPr>
        <w:t>m</w:t>
      </w:r>
      <w:r w:rsidRPr="00761D1D">
        <w:rPr>
          <w:rFonts w:cs="Arial"/>
          <w:sz w:val="20"/>
          <w:szCs w:val="20"/>
        </w:rPr>
        <w:t xml:space="preserve"> k odkládání pojištění věci. Budou-li pojištěné věci uloženy i mimo uzavřený prostor mimo oplocené prostranství v době pojistné události, poskytne pojistitel plnění, budou-li prokazatelně uzamčeny lankovým nebo řetízkovým zámkem na zamykání jízdních kol k příslušenství budovy nebo ke stavebním součástem budovy, ke stojanům či jinak odolným konstrukcím takovým způsobem, aby ho nebylo možné odcizit, aniž pachatel překonal zámek nebo závažným způsobem rozrušil pevný konstrukční díl samotného předmětu.</w:t>
      </w:r>
    </w:p>
    <w:p w14:paraId="42B2A56F" w14:textId="77777777" w:rsidR="0087301D" w:rsidRDefault="0087301D" w:rsidP="00B866DE">
      <w:pPr>
        <w:pStyle w:val="Odstavecseseznamem"/>
        <w:numPr>
          <w:ilvl w:val="0"/>
          <w:numId w:val="17"/>
        </w:numPr>
        <w:spacing w:before="120" w:after="120" w:line="280" w:lineRule="atLeast"/>
        <w:ind w:left="227" w:firstLine="0"/>
        <w:contextualSpacing w:val="0"/>
        <w:rPr>
          <w:rFonts w:cs="Arial"/>
          <w:b/>
          <w:sz w:val="20"/>
          <w:szCs w:val="20"/>
        </w:rPr>
      </w:pPr>
      <w:r>
        <w:rPr>
          <w:rFonts w:cs="Arial"/>
          <w:b/>
          <w:sz w:val="20"/>
          <w:szCs w:val="20"/>
        </w:rPr>
        <w:t>Přijetí padělaných bankovek, státovek a oběžných mincí (dále jen peníze)</w:t>
      </w:r>
    </w:p>
    <w:p w14:paraId="5A815855" w14:textId="251B476C" w:rsidR="0087301D" w:rsidRPr="0087301D" w:rsidRDefault="0087301D" w:rsidP="0087301D">
      <w:pPr>
        <w:pStyle w:val="Odstavecseseznamem"/>
        <w:spacing w:after="120" w:line="280" w:lineRule="atLeast"/>
        <w:ind w:left="227"/>
        <w:contextualSpacing w:val="0"/>
        <w:rPr>
          <w:rFonts w:cs="Arial"/>
          <w:sz w:val="20"/>
          <w:szCs w:val="20"/>
        </w:rPr>
      </w:pPr>
      <w:r w:rsidRPr="0087301D">
        <w:rPr>
          <w:rFonts w:cs="Arial"/>
          <w:sz w:val="20"/>
          <w:szCs w:val="20"/>
        </w:rPr>
        <w:t xml:space="preserve">Odchylně od příslušných pojistných podmínek se ujednává, že uchazeč poskytne pojistné plnění v případě, kdy pojištěnému vznikne finanční újma tím, že v dobré víře převezme padělané peníze. Pojištění se vztahuje pouze na padělky 1., </w:t>
      </w:r>
      <w:smartTag w:uri="urn:schemas-microsoft-com:office:smarttags" w:element="metricconverter">
        <w:smartTagPr>
          <w:attr w:name="ProductID" w:val="2. a"/>
        </w:smartTagPr>
        <w:r w:rsidRPr="0087301D">
          <w:rPr>
            <w:rFonts w:cs="Arial"/>
            <w:sz w:val="20"/>
            <w:szCs w:val="20"/>
          </w:rPr>
          <w:t>2. a</w:t>
        </w:r>
      </w:smartTag>
      <w:r w:rsidRPr="0087301D">
        <w:rPr>
          <w:rFonts w:cs="Arial"/>
          <w:sz w:val="20"/>
          <w:szCs w:val="20"/>
        </w:rPr>
        <w:t xml:space="preserve"> 3. stupně nebezpečnosti dle identifikace ČNB. </w:t>
      </w:r>
      <w:r w:rsidR="008210FA">
        <w:rPr>
          <w:rFonts w:cs="Arial"/>
          <w:sz w:val="20"/>
          <w:szCs w:val="20"/>
        </w:rPr>
        <w:br/>
      </w:r>
      <w:r w:rsidRPr="0087301D">
        <w:rPr>
          <w:rFonts w:cs="Arial"/>
          <w:sz w:val="20"/>
          <w:szCs w:val="20"/>
        </w:rPr>
        <w:t xml:space="preserve">Při přijetí padělků </w:t>
      </w:r>
      <w:smartTag w:uri="urn:schemas-microsoft-com:office:smarttags" w:element="metricconverter">
        <w:smartTagPr>
          <w:attr w:name="ProductID" w:val="4. a"/>
        </w:smartTagPr>
        <w:r w:rsidRPr="0087301D">
          <w:rPr>
            <w:rFonts w:cs="Arial"/>
            <w:sz w:val="20"/>
            <w:szCs w:val="20"/>
          </w:rPr>
          <w:t>4. a</w:t>
        </w:r>
      </w:smartTag>
      <w:r w:rsidRPr="0087301D">
        <w:rPr>
          <w:rFonts w:cs="Arial"/>
          <w:sz w:val="20"/>
          <w:szCs w:val="20"/>
        </w:rPr>
        <w:t xml:space="preserve"> 5. stupně nebezpečnosti právo na plnění nevzniká. </w:t>
      </w:r>
    </w:p>
    <w:p w14:paraId="2F2699E2" w14:textId="77777777" w:rsidR="0087301D" w:rsidRPr="0087301D" w:rsidRDefault="0087301D" w:rsidP="0087301D">
      <w:pPr>
        <w:pStyle w:val="Odstavecseseznamem"/>
        <w:spacing w:before="120" w:after="120" w:line="280" w:lineRule="atLeast"/>
        <w:ind w:left="227"/>
        <w:contextualSpacing w:val="0"/>
        <w:rPr>
          <w:rFonts w:cs="Arial"/>
          <w:sz w:val="20"/>
          <w:szCs w:val="20"/>
        </w:rPr>
      </w:pPr>
      <w:r w:rsidRPr="0087301D">
        <w:rPr>
          <w:rFonts w:cs="Arial"/>
          <w:sz w:val="20"/>
          <w:szCs w:val="20"/>
        </w:rPr>
        <w:t>Pro toto pojištění se ujednává limit plnění: 50 000 Kč</w:t>
      </w:r>
    </w:p>
    <w:p w14:paraId="76EA473E" w14:textId="77777777" w:rsidR="0087301D" w:rsidRPr="0087301D" w:rsidRDefault="0087301D" w:rsidP="0087301D">
      <w:pPr>
        <w:pStyle w:val="Odstavecseseznamem"/>
        <w:spacing w:after="120" w:line="280" w:lineRule="atLeast"/>
        <w:ind w:left="227"/>
        <w:rPr>
          <w:rFonts w:cs="Arial"/>
          <w:sz w:val="20"/>
          <w:szCs w:val="20"/>
        </w:rPr>
      </w:pPr>
      <w:r w:rsidRPr="0087301D">
        <w:rPr>
          <w:rFonts w:cs="Arial"/>
          <w:sz w:val="20"/>
          <w:szCs w:val="20"/>
        </w:rPr>
        <w:t>Ujednává se, že pojištění se vztahuje pouze na měny uvedené v oficiálním kurzovním lístku.</w:t>
      </w:r>
    </w:p>
    <w:p w14:paraId="5DA77DCD" w14:textId="177A12A0" w:rsidR="00D90EC5" w:rsidRDefault="00D90EC5">
      <w:pPr>
        <w:jc w:val="left"/>
        <w:rPr>
          <w:rFonts w:cs="Arial"/>
          <w:sz w:val="20"/>
          <w:szCs w:val="20"/>
        </w:rPr>
      </w:pPr>
      <w:r>
        <w:rPr>
          <w:rFonts w:cs="Arial"/>
          <w:sz w:val="20"/>
          <w:szCs w:val="20"/>
        </w:rPr>
        <w:br w:type="page"/>
      </w:r>
    </w:p>
    <w:p w14:paraId="41293940" w14:textId="77777777" w:rsidR="0087301D" w:rsidRPr="0087301D" w:rsidRDefault="0087301D" w:rsidP="0087301D">
      <w:pPr>
        <w:pStyle w:val="Odstavecseseznamem"/>
        <w:spacing w:after="120" w:line="280" w:lineRule="atLeast"/>
        <w:ind w:left="227"/>
        <w:rPr>
          <w:rFonts w:cs="Arial"/>
          <w:sz w:val="20"/>
          <w:szCs w:val="20"/>
        </w:rPr>
      </w:pPr>
    </w:p>
    <w:p w14:paraId="0E80738F" w14:textId="3C43D9BC" w:rsidR="00450AC2" w:rsidRPr="006B3A44" w:rsidRDefault="00E05E30" w:rsidP="006B3A44">
      <w:pPr>
        <w:pStyle w:val="Odstavecseseznamem"/>
        <w:numPr>
          <w:ilvl w:val="0"/>
          <w:numId w:val="17"/>
        </w:numPr>
        <w:spacing w:before="120" w:after="120" w:line="280" w:lineRule="atLeast"/>
        <w:ind w:left="227" w:firstLine="0"/>
        <w:contextualSpacing w:val="0"/>
        <w:rPr>
          <w:rFonts w:cs="Arial"/>
          <w:b/>
          <w:sz w:val="20"/>
          <w:szCs w:val="20"/>
        </w:rPr>
      </w:pPr>
      <w:r w:rsidRPr="006B3A44">
        <w:rPr>
          <w:rFonts w:cs="Arial"/>
          <w:b/>
          <w:sz w:val="20"/>
          <w:szCs w:val="20"/>
        </w:rPr>
        <w:t>Odchylná ujednání o způsobu zabezpečení pro případ odcizení</w:t>
      </w:r>
    </w:p>
    <w:p w14:paraId="70DDF4A3" w14:textId="77777777" w:rsidR="00E05E30" w:rsidRPr="00107B6A" w:rsidRDefault="00E05E30" w:rsidP="00E05E30">
      <w:pPr>
        <w:spacing w:after="120" w:line="280" w:lineRule="atLeast"/>
        <w:ind w:left="227"/>
        <w:rPr>
          <w:rFonts w:cs="Arial"/>
          <w:b/>
          <w:sz w:val="20"/>
          <w:szCs w:val="20"/>
        </w:rPr>
      </w:pPr>
      <w:r w:rsidRPr="00352F89">
        <w:rPr>
          <w:rFonts w:cs="Arial"/>
          <w:b/>
          <w:sz w:val="20"/>
          <w:szCs w:val="20"/>
          <w:highlight w:val="yellow"/>
        </w:rPr>
        <w:t>I. Odchylné ujednání o zabezpečení proti odcizení</w:t>
      </w:r>
    </w:p>
    <w:p w14:paraId="0DFEFA31" w14:textId="3D2326E7" w:rsidR="00E05E30" w:rsidRPr="00107B6A" w:rsidRDefault="00E05E30" w:rsidP="00E05E30">
      <w:pPr>
        <w:spacing w:after="120" w:line="280" w:lineRule="atLeast"/>
        <w:ind w:left="227"/>
        <w:rPr>
          <w:rFonts w:cs="Arial"/>
          <w:b/>
          <w:sz w:val="20"/>
          <w:szCs w:val="20"/>
          <w:u w:val="single"/>
        </w:rPr>
      </w:pPr>
      <w:r w:rsidRPr="00107B6A">
        <w:rPr>
          <w:rFonts w:cs="Arial"/>
          <w:b/>
          <w:sz w:val="20"/>
          <w:szCs w:val="20"/>
          <w:u w:val="single"/>
        </w:rPr>
        <w:t xml:space="preserve">Pojištění stavebních součásti pořízených na vlastní </w:t>
      </w:r>
      <w:r w:rsidR="00283382" w:rsidRPr="00107B6A">
        <w:rPr>
          <w:rFonts w:cs="Arial"/>
          <w:b/>
          <w:sz w:val="20"/>
          <w:szCs w:val="20"/>
          <w:u w:val="single"/>
        </w:rPr>
        <w:t>náklady</w:t>
      </w:r>
      <w:r w:rsidRPr="00107B6A">
        <w:rPr>
          <w:rFonts w:cs="Arial"/>
          <w:b/>
          <w:sz w:val="20"/>
          <w:szCs w:val="20"/>
          <w:u w:val="single"/>
        </w:rPr>
        <w:t xml:space="preserve"> (ve vlastních i cizích objektech},</w:t>
      </w:r>
      <w:r w:rsidR="00107B6A" w:rsidRPr="00107B6A">
        <w:rPr>
          <w:rFonts w:cs="Arial"/>
          <w:b/>
          <w:sz w:val="20"/>
          <w:szCs w:val="20"/>
          <w:u w:val="single"/>
        </w:rPr>
        <w:t xml:space="preserve"> </w:t>
      </w:r>
      <w:r w:rsidRPr="00107B6A">
        <w:rPr>
          <w:rFonts w:cs="Arial"/>
          <w:b/>
          <w:sz w:val="20"/>
          <w:szCs w:val="20"/>
          <w:u w:val="single"/>
        </w:rPr>
        <w:t xml:space="preserve">příslušenství uvnitř i vně budov, hal a staveb, uměleckých děl (která </w:t>
      </w:r>
      <w:r w:rsidR="00283382" w:rsidRPr="00107B6A">
        <w:rPr>
          <w:rFonts w:cs="Arial"/>
          <w:b/>
          <w:sz w:val="20"/>
          <w:szCs w:val="20"/>
          <w:u w:val="single"/>
        </w:rPr>
        <w:t>jsou</w:t>
      </w:r>
      <w:r w:rsidRPr="00107B6A">
        <w:rPr>
          <w:rFonts w:cs="Arial"/>
          <w:b/>
          <w:sz w:val="20"/>
          <w:szCs w:val="20"/>
          <w:u w:val="single"/>
        </w:rPr>
        <w:t xml:space="preserve"> součástmi budov), vč. štítů,</w:t>
      </w:r>
      <w:r w:rsidR="00107B6A" w:rsidRPr="00107B6A">
        <w:rPr>
          <w:rFonts w:cs="Arial"/>
          <w:b/>
          <w:sz w:val="20"/>
          <w:szCs w:val="20"/>
          <w:u w:val="single"/>
        </w:rPr>
        <w:t xml:space="preserve"> </w:t>
      </w:r>
      <w:r w:rsidRPr="00107B6A">
        <w:rPr>
          <w:rFonts w:cs="Arial"/>
          <w:b/>
          <w:sz w:val="20"/>
          <w:szCs w:val="20"/>
          <w:u w:val="single"/>
        </w:rPr>
        <w:t>světelných nápisů a reklam, obrazovek a reprodukto</w:t>
      </w:r>
      <w:r w:rsidR="00107B6A" w:rsidRPr="00107B6A">
        <w:rPr>
          <w:rFonts w:cs="Arial"/>
          <w:b/>
          <w:sz w:val="20"/>
          <w:szCs w:val="20"/>
          <w:u w:val="single"/>
        </w:rPr>
        <w:t xml:space="preserve">rů pevně zavěšených </w:t>
      </w:r>
      <w:r w:rsidR="006B3A44">
        <w:rPr>
          <w:rFonts w:cs="Arial"/>
          <w:b/>
          <w:sz w:val="20"/>
          <w:szCs w:val="20"/>
          <w:u w:val="single"/>
        </w:rPr>
        <w:br/>
      </w:r>
      <w:r w:rsidR="00107B6A" w:rsidRPr="00107B6A">
        <w:rPr>
          <w:rFonts w:cs="Arial"/>
          <w:b/>
          <w:sz w:val="20"/>
          <w:szCs w:val="20"/>
          <w:u w:val="single"/>
        </w:rPr>
        <w:t xml:space="preserve">na chodbách, EZS, kamerových systémů, čidel, </w:t>
      </w:r>
      <w:r w:rsidR="00283382" w:rsidRPr="00107B6A">
        <w:rPr>
          <w:rFonts w:cs="Arial"/>
          <w:b/>
          <w:sz w:val="20"/>
          <w:szCs w:val="20"/>
          <w:u w:val="single"/>
        </w:rPr>
        <w:t>dataprojektorů</w:t>
      </w:r>
      <w:r w:rsidRPr="00107B6A">
        <w:rPr>
          <w:rFonts w:cs="Arial"/>
          <w:b/>
          <w:sz w:val="20"/>
          <w:szCs w:val="20"/>
          <w:u w:val="single"/>
        </w:rPr>
        <w:t xml:space="preserve"> pevně zavěšených v učebnách, informačních kiosků</w:t>
      </w:r>
      <w:r w:rsidR="00107B6A" w:rsidRPr="00107B6A">
        <w:rPr>
          <w:rFonts w:cs="Arial"/>
          <w:b/>
          <w:sz w:val="20"/>
          <w:szCs w:val="20"/>
          <w:u w:val="single"/>
        </w:rPr>
        <w:t xml:space="preserve"> </w:t>
      </w:r>
      <w:r w:rsidRPr="00107B6A">
        <w:rPr>
          <w:rFonts w:cs="Arial"/>
          <w:b/>
          <w:sz w:val="20"/>
          <w:szCs w:val="20"/>
          <w:u w:val="single"/>
        </w:rPr>
        <w:t>CVT. informačních tabulí umístěných uvnitř a na vnější straně budov apod.</w:t>
      </w:r>
    </w:p>
    <w:p w14:paraId="760AB9B2" w14:textId="23E88612" w:rsidR="0085758F" w:rsidRDefault="00E05E30" w:rsidP="0085758F">
      <w:pPr>
        <w:spacing w:line="280" w:lineRule="atLeast"/>
        <w:ind w:left="227"/>
        <w:rPr>
          <w:rFonts w:cs="Arial"/>
          <w:sz w:val="20"/>
          <w:szCs w:val="20"/>
        </w:rPr>
      </w:pPr>
      <w:r w:rsidRPr="00107B6A">
        <w:rPr>
          <w:rFonts w:cs="Arial"/>
          <w:sz w:val="20"/>
          <w:szCs w:val="20"/>
          <w:u w:val="single"/>
        </w:rPr>
        <w:t>Zvláštní ujednání:</w:t>
      </w:r>
      <w:r w:rsidRPr="00E05E30">
        <w:rPr>
          <w:rFonts w:cs="Arial"/>
          <w:sz w:val="20"/>
          <w:szCs w:val="20"/>
        </w:rPr>
        <w:t xml:space="preserve"> pojištění </w:t>
      </w:r>
      <w:r w:rsidR="005D487E">
        <w:rPr>
          <w:rFonts w:cs="Arial"/>
          <w:sz w:val="20"/>
          <w:szCs w:val="20"/>
        </w:rPr>
        <w:t xml:space="preserve">se </w:t>
      </w:r>
      <w:r w:rsidRPr="00E05E30">
        <w:rPr>
          <w:rFonts w:cs="Arial"/>
          <w:sz w:val="20"/>
          <w:szCs w:val="20"/>
        </w:rPr>
        <w:t>vztahuje i na škody, které nastanou na výše uvedených předmětech</w:t>
      </w:r>
      <w:r w:rsidR="006B3A44">
        <w:rPr>
          <w:rFonts w:cs="Arial"/>
          <w:sz w:val="20"/>
          <w:szCs w:val="20"/>
        </w:rPr>
        <w:t>,</w:t>
      </w:r>
      <w:r w:rsidRPr="00E05E30">
        <w:rPr>
          <w:rFonts w:cs="Arial"/>
          <w:sz w:val="20"/>
          <w:szCs w:val="20"/>
        </w:rPr>
        <w:t xml:space="preserve"> a to v</w:t>
      </w:r>
      <w:r w:rsidR="00107B6A">
        <w:rPr>
          <w:rFonts w:cs="Arial"/>
          <w:sz w:val="20"/>
          <w:szCs w:val="20"/>
        </w:rPr>
        <w:t xml:space="preserve"> </w:t>
      </w:r>
      <w:r w:rsidRPr="00E05E30">
        <w:rPr>
          <w:rFonts w:cs="Arial"/>
          <w:sz w:val="20"/>
          <w:szCs w:val="20"/>
        </w:rPr>
        <w:t xml:space="preserve">důsledku jejich odcizení, popř. jejich poškození nebo zničení, ke kterému dojde při pokusu </w:t>
      </w:r>
      <w:r w:rsidR="006B3A44">
        <w:rPr>
          <w:rFonts w:cs="Arial"/>
          <w:sz w:val="20"/>
          <w:szCs w:val="20"/>
        </w:rPr>
        <w:br/>
      </w:r>
      <w:r w:rsidRPr="00E05E30">
        <w:rPr>
          <w:rFonts w:cs="Arial"/>
          <w:sz w:val="20"/>
          <w:szCs w:val="20"/>
        </w:rPr>
        <w:t>o jejich odcizení. Všechny škody, které vzniknou v</w:t>
      </w:r>
      <w:r w:rsidR="00107B6A">
        <w:rPr>
          <w:rFonts w:cs="Arial"/>
          <w:sz w:val="20"/>
          <w:szCs w:val="20"/>
        </w:rPr>
        <w:t xml:space="preserve"> </w:t>
      </w:r>
      <w:r w:rsidRPr="00E05E30">
        <w:rPr>
          <w:rFonts w:cs="Arial"/>
          <w:sz w:val="20"/>
          <w:szCs w:val="20"/>
        </w:rPr>
        <w:t>důsledku tohoto rizika</w:t>
      </w:r>
      <w:r w:rsidR="00EB7AF0">
        <w:rPr>
          <w:rFonts w:cs="Arial"/>
          <w:sz w:val="20"/>
          <w:szCs w:val="20"/>
        </w:rPr>
        <w:t>,</w:t>
      </w:r>
      <w:r w:rsidRPr="00E05E30">
        <w:rPr>
          <w:rFonts w:cs="Arial"/>
          <w:sz w:val="20"/>
          <w:szCs w:val="20"/>
        </w:rPr>
        <w:t xml:space="preserve"> musí být hlášeny Policii ČR.</w:t>
      </w:r>
    </w:p>
    <w:p w14:paraId="09D0EFB6" w14:textId="19CFF635" w:rsidR="00E05E30" w:rsidRPr="00E05E30" w:rsidRDefault="00E05E30" w:rsidP="008210FA">
      <w:pPr>
        <w:spacing w:after="120" w:line="280" w:lineRule="atLeast"/>
        <w:ind w:left="227"/>
        <w:rPr>
          <w:rFonts w:cs="Arial"/>
          <w:sz w:val="20"/>
          <w:szCs w:val="20"/>
        </w:rPr>
      </w:pPr>
      <w:r w:rsidRPr="00E05E30">
        <w:rPr>
          <w:rFonts w:cs="Arial"/>
          <w:sz w:val="20"/>
          <w:szCs w:val="20"/>
        </w:rPr>
        <w:t>Při odcizení, popř. poškození nebo zničení stavebních</w:t>
      </w:r>
      <w:r w:rsidR="00107B6A">
        <w:rPr>
          <w:rFonts w:cs="Arial"/>
          <w:sz w:val="20"/>
          <w:szCs w:val="20"/>
        </w:rPr>
        <w:t xml:space="preserve"> </w:t>
      </w:r>
      <w:r w:rsidRPr="00E05E30">
        <w:rPr>
          <w:rFonts w:cs="Arial"/>
          <w:sz w:val="20"/>
          <w:szCs w:val="20"/>
        </w:rPr>
        <w:t>součástí, ke kterému dojde při jejich odcizení</w:t>
      </w:r>
      <w:r w:rsidR="00EB7AF0">
        <w:rPr>
          <w:rFonts w:cs="Arial"/>
          <w:sz w:val="20"/>
          <w:szCs w:val="20"/>
        </w:rPr>
        <w:t>,</w:t>
      </w:r>
      <w:r w:rsidRPr="00E05E30">
        <w:rPr>
          <w:rFonts w:cs="Arial"/>
          <w:sz w:val="20"/>
          <w:szCs w:val="20"/>
        </w:rPr>
        <w:t xml:space="preserve"> musí pachatel prokazatelně použít násilí. Předměty na vnější</w:t>
      </w:r>
      <w:r w:rsidR="00107B6A">
        <w:rPr>
          <w:rFonts w:cs="Arial"/>
          <w:sz w:val="20"/>
          <w:szCs w:val="20"/>
        </w:rPr>
        <w:t xml:space="preserve"> </w:t>
      </w:r>
      <w:r w:rsidRPr="00E05E30">
        <w:rPr>
          <w:rFonts w:cs="Arial"/>
          <w:sz w:val="20"/>
          <w:szCs w:val="20"/>
        </w:rPr>
        <w:t>straně budov a stavební součásti uvnitř i vně budov musí být k budově připevněny tak, že jejich demontáž</w:t>
      </w:r>
      <w:r w:rsidR="00107B6A">
        <w:rPr>
          <w:rFonts w:cs="Arial"/>
          <w:sz w:val="20"/>
          <w:szCs w:val="20"/>
        </w:rPr>
        <w:t xml:space="preserve"> </w:t>
      </w:r>
      <w:r w:rsidRPr="00E05E30">
        <w:rPr>
          <w:rFonts w:cs="Arial"/>
          <w:sz w:val="20"/>
          <w:szCs w:val="20"/>
        </w:rPr>
        <w:t>není možné provést bez použití násilí, nástrojů nebo nářadí. Pojištění se nevztahuje na škody, které způsobí</w:t>
      </w:r>
      <w:r w:rsidR="00107B6A">
        <w:rPr>
          <w:rFonts w:cs="Arial"/>
          <w:sz w:val="20"/>
          <w:szCs w:val="20"/>
        </w:rPr>
        <w:t xml:space="preserve"> </w:t>
      </w:r>
      <w:r w:rsidRPr="00E05E30">
        <w:rPr>
          <w:rFonts w:cs="Arial"/>
          <w:sz w:val="20"/>
          <w:szCs w:val="20"/>
        </w:rPr>
        <w:t>pojistník, pojištěný nebo jeho zástupce.</w:t>
      </w:r>
    </w:p>
    <w:p w14:paraId="3800054C" w14:textId="77777777" w:rsidR="008142CA" w:rsidRPr="008142CA" w:rsidRDefault="008142CA" w:rsidP="008142CA">
      <w:pPr>
        <w:spacing w:after="120" w:line="280" w:lineRule="atLeast"/>
        <w:ind w:left="227"/>
        <w:rPr>
          <w:rFonts w:cs="Arial"/>
          <w:b/>
          <w:sz w:val="20"/>
          <w:szCs w:val="20"/>
          <w:u w:val="single"/>
        </w:rPr>
      </w:pPr>
      <w:r w:rsidRPr="008142CA">
        <w:rPr>
          <w:rFonts w:cs="Arial"/>
          <w:b/>
          <w:sz w:val="20"/>
          <w:szCs w:val="20"/>
          <w:u w:val="single"/>
        </w:rPr>
        <w:t xml:space="preserve">Pojištění souboru protipožárních prostředků pojištěných objektů (hydrantové </w:t>
      </w:r>
      <w:r w:rsidR="00754159">
        <w:rPr>
          <w:rFonts w:cs="Arial"/>
          <w:b/>
          <w:sz w:val="20"/>
          <w:szCs w:val="20"/>
          <w:u w:val="single"/>
        </w:rPr>
        <w:t>skříně vč. jejich vybavení, hasi</w:t>
      </w:r>
      <w:r w:rsidRPr="008142CA">
        <w:rPr>
          <w:rFonts w:cs="Arial"/>
          <w:b/>
          <w:sz w:val="20"/>
          <w:szCs w:val="20"/>
          <w:u w:val="single"/>
        </w:rPr>
        <w:t>cí přístroje, případně skříně, pokud jsou tyto přístroje v nich uloženy)</w:t>
      </w:r>
    </w:p>
    <w:p w14:paraId="73D7F977" w14:textId="77777777" w:rsidR="008142CA" w:rsidRPr="008142CA" w:rsidRDefault="008142CA" w:rsidP="008142CA">
      <w:pPr>
        <w:spacing w:after="120" w:line="280" w:lineRule="atLeast"/>
        <w:ind w:left="227"/>
        <w:rPr>
          <w:rFonts w:cs="Arial"/>
          <w:sz w:val="20"/>
          <w:szCs w:val="20"/>
        </w:rPr>
      </w:pPr>
      <w:r w:rsidRPr="008142CA">
        <w:rPr>
          <w:rFonts w:cs="Arial"/>
          <w:sz w:val="20"/>
          <w:szCs w:val="20"/>
        </w:rPr>
        <w:t>Zvláštní ujednání: hadice a proudnice hydrantů jsou uzavřeny ve skříňkách upevněných šrouby, nastřelením</w:t>
      </w:r>
      <w:r>
        <w:rPr>
          <w:rFonts w:cs="Arial"/>
          <w:sz w:val="20"/>
          <w:szCs w:val="20"/>
        </w:rPr>
        <w:t xml:space="preserve"> </w:t>
      </w:r>
      <w:r w:rsidRPr="008142CA">
        <w:rPr>
          <w:rFonts w:cs="Arial"/>
          <w:sz w:val="20"/>
          <w:szCs w:val="20"/>
        </w:rPr>
        <w:t>nebo jinak pevně připojených</w:t>
      </w:r>
      <w:r w:rsidR="00754159">
        <w:rPr>
          <w:rFonts w:cs="Arial"/>
          <w:sz w:val="20"/>
          <w:szCs w:val="20"/>
        </w:rPr>
        <w:t xml:space="preserve"> k vnitřním stěnám objektů. Hasi</w:t>
      </w:r>
      <w:r w:rsidRPr="008142CA">
        <w:rPr>
          <w:rFonts w:cs="Arial"/>
          <w:sz w:val="20"/>
          <w:szCs w:val="20"/>
        </w:rPr>
        <w:t>cí přístroje a hadice včetně proudnic musí být</w:t>
      </w:r>
      <w:r>
        <w:rPr>
          <w:rFonts w:cs="Arial"/>
          <w:sz w:val="20"/>
          <w:szCs w:val="20"/>
        </w:rPr>
        <w:t xml:space="preserve"> </w:t>
      </w:r>
      <w:r w:rsidRPr="008142CA">
        <w:rPr>
          <w:rFonts w:cs="Arial"/>
          <w:sz w:val="20"/>
          <w:szCs w:val="20"/>
        </w:rPr>
        <w:t>uloženy a spravovány dle platných norem. Pojištěný je povinen případné poškození, zničení nebo ztrátu</w:t>
      </w:r>
      <w:r>
        <w:rPr>
          <w:rFonts w:cs="Arial"/>
          <w:sz w:val="20"/>
          <w:szCs w:val="20"/>
        </w:rPr>
        <w:t xml:space="preserve"> </w:t>
      </w:r>
      <w:r w:rsidR="00754159">
        <w:rPr>
          <w:rFonts w:cs="Arial"/>
          <w:sz w:val="20"/>
          <w:szCs w:val="20"/>
        </w:rPr>
        <w:t>hasi</w:t>
      </w:r>
      <w:r w:rsidRPr="008142CA">
        <w:rPr>
          <w:rFonts w:cs="Arial"/>
          <w:sz w:val="20"/>
          <w:szCs w:val="20"/>
        </w:rPr>
        <w:t>cích přístrojů a hydrantových hadic včetně proudnic oznámit ihned po zjištění příslušným policejním</w:t>
      </w:r>
      <w:r>
        <w:rPr>
          <w:rFonts w:cs="Arial"/>
          <w:sz w:val="20"/>
          <w:szCs w:val="20"/>
        </w:rPr>
        <w:t xml:space="preserve"> </w:t>
      </w:r>
      <w:r w:rsidRPr="008142CA">
        <w:rPr>
          <w:rFonts w:cs="Arial"/>
          <w:sz w:val="20"/>
          <w:szCs w:val="20"/>
        </w:rPr>
        <w:t>orgánům za účelem zahájení šetření.</w:t>
      </w:r>
    </w:p>
    <w:p w14:paraId="3F8A47A9" w14:textId="3F906F8B" w:rsidR="008142CA" w:rsidRPr="008142CA" w:rsidRDefault="008142CA" w:rsidP="008142CA">
      <w:pPr>
        <w:spacing w:after="120" w:line="280" w:lineRule="atLeast"/>
        <w:ind w:left="227"/>
        <w:rPr>
          <w:rFonts w:cs="Arial"/>
          <w:b/>
          <w:sz w:val="20"/>
          <w:szCs w:val="20"/>
          <w:u w:val="single"/>
        </w:rPr>
      </w:pPr>
      <w:r w:rsidRPr="008142CA">
        <w:rPr>
          <w:rFonts w:cs="Arial"/>
          <w:b/>
          <w:sz w:val="20"/>
          <w:szCs w:val="20"/>
          <w:u w:val="single"/>
        </w:rPr>
        <w:t xml:space="preserve">Pojištění vlastních a cizích věcí movitých na území </w:t>
      </w:r>
      <w:r w:rsidR="008210FA">
        <w:rPr>
          <w:rFonts w:cs="Arial"/>
          <w:b/>
          <w:sz w:val="20"/>
          <w:szCs w:val="20"/>
          <w:u w:val="single"/>
        </w:rPr>
        <w:t>Evropy</w:t>
      </w:r>
    </w:p>
    <w:p w14:paraId="36EBFAEF" w14:textId="46EB9A80" w:rsidR="00107B6A" w:rsidRDefault="008142CA" w:rsidP="008142CA">
      <w:pPr>
        <w:spacing w:after="120" w:line="280" w:lineRule="atLeast"/>
        <w:ind w:left="227"/>
        <w:rPr>
          <w:rFonts w:cs="Arial"/>
          <w:sz w:val="20"/>
          <w:szCs w:val="20"/>
        </w:rPr>
      </w:pPr>
      <w:r w:rsidRPr="008142CA">
        <w:rPr>
          <w:rFonts w:cs="Arial"/>
          <w:sz w:val="20"/>
          <w:szCs w:val="20"/>
        </w:rPr>
        <w:t>Zvláštní ujednání: pojišťují se movité věci, které pojištěný prokazatelně používá k pracovním účelům. Místem</w:t>
      </w:r>
      <w:r>
        <w:rPr>
          <w:rFonts w:cs="Arial"/>
          <w:sz w:val="20"/>
          <w:szCs w:val="20"/>
        </w:rPr>
        <w:t xml:space="preserve"> </w:t>
      </w:r>
      <w:r w:rsidRPr="008142CA">
        <w:rPr>
          <w:rFonts w:cs="Arial"/>
          <w:sz w:val="20"/>
          <w:szCs w:val="20"/>
        </w:rPr>
        <w:t>pojištění se ujednávají místa, kde pojištěný vykonává svou činnost (konference, semináře apod.) na území</w:t>
      </w:r>
      <w:r>
        <w:rPr>
          <w:rFonts w:cs="Arial"/>
          <w:sz w:val="20"/>
          <w:szCs w:val="20"/>
        </w:rPr>
        <w:t xml:space="preserve"> </w:t>
      </w:r>
      <w:r w:rsidR="008210FA">
        <w:rPr>
          <w:rFonts w:cs="Arial"/>
          <w:sz w:val="20"/>
          <w:szCs w:val="20"/>
        </w:rPr>
        <w:t>Evropy</w:t>
      </w:r>
      <w:r w:rsidRPr="008142CA">
        <w:rPr>
          <w:rFonts w:cs="Arial"/>
          <w:sz w:val="20"/>
          <w:szCs w:val="20"/>
        </w:rPr>
        <w:t>. Věci musí být uloženy v řádně uzamčené místnosti a při odcizení musí pachatel</w:t>
      </w:r>
      <w:r>
        <w:rPr>
          <w:rFonts w:cs="Arial"/>
          <w:sz w:val="20"/>
          <w:szCs w:val="20"/>
        </w:rPr>
        <w:t xml:space="preserve"> </w:t>
      </w:r>
      <w:r w:rsidRPr="008142CA">
        <w:rPr>
          <w:rFonts w:cs="Arial"/>
          <w:sz w:val="20"/>
          <w:szCs w:val="20"/>
        </w:rPr>
        <w:t>prokazatelně použít násilí.</w:t>
      </w:r>
    </w:p>
    <w:p w14:paraId="160662D1" w14:textId="0E595B4C" w:rsidR="008142CA" w:rsidRPr="00352F89" w:rsidRDefault="008142CA" w:rsidP="008142CA">
      <w:pPr>
        <w:spacing w:after="120" w:line="280" w:lineRule="atLeast"/>
        <w:ind w:left="227"/>
        <w:rPr>
          <w:rFonts w:cs="Arial"/>
          <w:b/>
          <w:sz w:val="20"/>
          <w:szCs w:val="20"/>
        </w:rPr>
      </w:pPr>
      <w:r w:rsidRPr="00352F89">
        <w:rPr>
          <w:rFonts w:cs="Arial"/>
          <w:b/>
          <w:sz w:val="20"/>
          <w:szCs w:val="20"/>
          <w:highlight w:val="yellow"/>
        </w:rPr>
        <w:t>II. Ostatní odchylné způsoby zabezpečení</w:t>
      </w:r>
    </w:p>
    <w:p w14:paraId="0E09A40D" w14:textId="153AFAEE" w:rsidR="008142CA" w:rsidRPr="00352F89" w:rsidRDefault="008142CA" w:rsidP="008142CA">
      <w:pPr>
        <w:spacing w:after="120" w:line="280" w:lineRule="atLeast"/>
        <w:ind w:left="227"/>
        <w:rPr>
          <w:rFonts w:cs="Arial"/>
          <w:b/>
          <w:sz w:val="20"/>
          <w:szCs w:val="20"/>
        </w:rPr>
      </w:pPr>
      <w:r w:rsidRPr="00352F89">
        <w:rPr>
          <w:rFonts w:cs="Arial"/>
          <w:b/>
          <w:sz w:val="20"/>
          <w:szCs w:val="20"/>
        </w:rPr>
        <w:t xml:space="preserve">1) Způsob zabezpečení movitých věcí na volném prostranství proti krádeži vloupáním </w:t>
      </w:r>
      <w:r w:rsidR="003215C5">
        <w:rPr>
          <w:rFonts w:cs="Arial"/>
          <w:b/>
          <w:sz w:val="20"/>
          <w:szCs w:val="20"/>
        </w:rPr>
        <w:br/>
      </w:r>
      <w:r w:rsidRPr="00352F89">
        <w:rPr>
          <w:rFonts w:cs="Arial"/>
          <w:b/>
          <w:sz w:val="20"/>
          <w:szCs w:val="20"/>
        </w:rPr>
        <w:t>do limitu</w:t>
      </w:r>
      <w:r w:rsidR="00352F89" w:rsidRPr="00352F89">
        <w:rPr>
          <w:rFonts w:cs="Arial"/>
          <w:b/>
          <w:sz w:val="20"/>
          <w:szCs w:val="20"/>
        </w:rPr>
        <w:t xml:space="preserve"> plnění 100 000 </w:t>
      </w:r>
      <w:r w:rsidRPr="00352F89">
        <w:rPr>
          <w:rFonts w:cs="Arial"/>
          <w:b/>
          <w:sz w:val="20"/>
          <w:szCs w:val="20"/>
        </w:rPr>
        <w:t>Kč:</w:t>
      </w:r>
    </w:p>
    <w:p w14:paraId="22E73C13" w14:textId="77777777" w:rsidR="00352F89" w:rsidRDefault="008142CA" w:rsidP="008142CA">
      <w:pPr>
        <w:spacing w:after="120" w:line="280" w:lineRule="atLeast"/>
        <w:ind w:left="227"/>
        <w:rPr>
          <w:rFonts w:cs="Arial"/>
          <w:sz w:val="20"/>
          <w:szCs w:val="20"/>
        </w:rPr>
      </w:pPr>
      <w:r w:rsidRPr="008142CA">
        <w:rPr>
          <w:rFonts w:cs="Arial"/>
          <w:sz w:val="20"/>
          <w:szCs w:val="20"/>
        </w:rPr>
        <w:t xml:space="preserve">Movité věci, které pro svoji značnou hmotnost, objem nebo z provozních důvodů nelze umístit </w:t>
      </w:r>
      <w:r w:rsidR="00754159">
        <w:rPr>
          <w:rFonts w:cs="Arial"/>
          <w:sz w:val="20"/>
          <w:szCs w:val="20"/>
        </w:rPr>
        <w:br/>
      </w:r>
      <w:r w:rsidRPr="008142CA">
        <w:rPr>
          <w:rFonts w:cs="Arial"/>
          <w:sz w:val="20"/>
          <w:szCs w:val="20"/>
        </w:rPr>
        <w:t>do</w:t>
      </w:r>
      <w:r w:rsidR="00352F89">
        <w:rPr>
          <w:rFonts w:cs="Arial"/>
          <w:sz w:val="20"/>
          <w:szCs w:val="20"/>
        </w:rPr>
        <w:t xml:space="preserve"> </w:t>
      </w:r>
      <w:r w:rsidRPr="008142CA">
        <w:rPr>
          <w:rFonts w:cs="Arial"/>
          <w:sz w:val="20"/>
          <w:szCs w:val="20"/>
        </w:rPr>
        <w:t>uzavřeného prostoru, jsou uloženy na volném prostranství opatřeném funkčním pevně ukotveným oplocením</w:t>
      </w:r>
      <w:r w:rsidR="00352F89">
        <w:rPr>
          <w:rFonts w:cs="Arial"/>
          <w:sz w:val="20"/>
          <w:szCs w:val="20"/>
        </w:rPr>
        <w:t xml:space="preserve"> </w:t>
      </w:r>
      <w:r w:rsidRPr="008142CA">
        <w:rPr>
          <w:rFonts w:cs="Arial"/>
          <w:sz w:val="20"/>
          <w:szCs w:val="20"/>
        </w:rPr>
        <w:t>s minimální výší 140 cm a vraty uzamčenými jedním bezpečnostním zámkem nebo vraty ovládanými</w:t>
      </w:r>
      <w:r w:rsidR="00352F89">
        <w:rPr>
          <w:rFonts w:cs="Arial"/>
          <w:sz w:val="20"/>
          <w:szCs w:val="20"/>
        </w:rPr>
        <w:t xml:space="preserve"> </w:t>
      </w:r>
      <w:r w:rsidRPr="008142CA">
        <w:rPr>
          <w:rFonts w:cs="Arial"/>
          <w:sz w:val="20"/>
          <w:szCs w:val="20"/>
        </w:rPr>
        <w:t>čipovou kartou nebo obsluhou vrátnice.</w:t>
      </w:r>
    </w:p>
    <w:p w14:paraId="1BF864F8" w14:textId="4A025339" w:rsidR="008142CA" w:rsidRDefault="008142CA" w:rsidP="008142CA">
      <w:pPr>
        <w:spacing w:after="120" w:line="280" w:lineRule="atLeast"/>
        <w:ind w:left="227"/>
        <w:rPr>
          <w:rFonts w:cs="Arial"/>
          <w:sz w:val="20"/>
          <w:szCs w:val="20"/>
        </w:rPr>
      </w:pPr>
      <w:r w:rsidRPr="008142CA">
        <w:rPr>
          <w:rFonts w:cs="Arial"/>
          <w:sz w:val="20"/>
          <w:szCs w:val="20"/>
        </w:rPr>
        <w:t>Předměty, které nelze pro jejich rozměry, hmotnosti nebo z provozních a funkčních důvodů umístit do</w:t>
      </w:r>
      <w:r w:rsidR="00352F89">
        <w:rPr>
          <w:rFonts w:cs="Arial"/>
          <w:sz w:val="20"/>
          <w:szCs w:val="20"/>
        </w:rPr>
        <w:t xml:space="preserve"> </w:t>
      </w:r>
      <w:r w:rsidRPr="008142CA">
        <w:rPr>
          <w:rFonts w:cs="Arial"/>
          <w:sz w:val="20"/>
          <w:szCs w:val="20"/>
        </w:rPr>
        <w:t>uzamčených prostor místa pojištění jsou umístěny na neoploceném volném prostranství v rámci území</w:t>
      </w:r>
      <w:r w:rsidR="00352F89">
        <w:rPr>
          <w:rFonts w:cs="Arial"/>
          <w:sz w:val="20"/>
          <w:szCs w:val="20"/>
        </w:rPr>
        <w:t xml:space="preserve"> </w:t>
      </w:r>
      <w:r w:rsidRPr="008142CA">
        <w:rPr>
          <w:rFonts w:cs="Arial"/>
          <w:sz w:val="20"/>
          <w:szCs w:val="20"/>
        </w:rPr>
        <w:t xml:space="preserve">města </w:t>
      </w:r>
      <w:r w:rsidR="008210FA">
        <w:rPr>
          <w:rFonts w:cs="Arial"/>
          <w:sz w:val="20"/>
          <w:szCs w:val="20"/>
        </w:rPr>
        <w:t>Olomouce</w:t>
      </w:r>
      <w:r w:rsidRPr="008142CA">
        <w:rPr>
          <w:rFonts w:cs="Arial"/>
          <w:sz w:val="20"/>
          <w:szCs w:val="20"/>
        </w:rPr>
        <w:t>. Tyto předměty musí být zabezpečeny tak, aby při jejich odcizení musel pachatel</w:t>
      </w:r>
      <w:r w:rsidR="00352F89">
        <w:rPr>
          <w:rFonts w:cs="Arial"/>
          <w:sz w:val="20"/>
          <w:szCs w:val="20"/>
        </w:rPr>
        <w:t xml:space="preserve"> </w:t>
      </w:r>
      <w:r w:rsidRPr="008142CA">
        <w:rPr>
          <w:rFonts w:cs="Arial"/>
          <w:sz w:val="20"/>
          <w:szCs w:val="20"/>
        </w:rPr>
        <w:t>prokazatelně použít násilí. Všechny škody, které vzniknou v důsledku tohoto rizika</w:t>
      </w:r>
      <w:r w:rsidR="00754159">
        <w:rPr>
          <w:rFonts w:cs="Arial"/>
          <w:sz w:val="20"/>
          <w:szCs w:val="20"/>
        </w:rPr>
        <w:t>,</w:t>
      </w:r>
      <w:r w:rsidRPr="008142CA">
        <w:rPr>
          <w:rFonts w:cs="Arial"/>
          <w:sz w:val="20"/>
          <w:szCs w:val="20"/>
        </w:rPr>
        <w:t xml:space="preserve"> musí být hlášeny Policii</w:t>
      </w:r>
      <w:r w:rsidR="00352F89">
        <w:rPr>
          <w:rFonts w:cs="Arial"/>
          <w:sz w:val="20"/>
          <w:szCs w:val="20"/>
        </w:rPr>
        <w:t xml:space="preserve"> </w:t>
      </w:r>
      <w:r w:rsidRPr="008142CA">
        <w:rPr>
          <w:rFonts w:cs="Arial"/>
          <w:sz w:val="20"/>
          <w:szCs w:val="20"/>
        </w:rPr>
        <w:t>ČR.</w:t>
      </w:r>
    </w:p>
    <w:p w14:paraId="2E2BED23" w14:textId="77777777" w:rsidR="00D90EC5" w:rsidRDefault="00D90EC5" w:rsidP="008142CA">
      <w:pPr>
        <w:spacing w:after="120" w:line="280" w:lineRule="atLeast"/>
        <w:ind w:left="227"/>
        <w:rPr>
          <w:rFonts w:cs="Arial"/>
          <w:sz w:val="20"/>
          <w:szCs w:val="20"/>
        </w:rPr>
      </w:pPr>
    </w:p>
    <w:p w14:paraId="203F7755" w14:textId="77777777" w:rsidR="00D90EC5" w:rsidRPr="008142CA" w:rsidRDefault="00D90EC5" w:rsidP="008142CA">
      <w:pPr>
        <w:spacing w:after="120" w:line="280" w:lineRule="atLeast"/>
        <w:ind w:left="227"/>
        <w:rPr>
          <w:rFonts w:cs="Arial"/>
          <w:sz w:val="20"/>
          <w:szCs w:val="20"/>
        </w:rPr>
      </w:pPr>
    </w:p>
    <w:p w14:paraId="23463D2F" w14:textId="77777777" w:rsidR="00ED6ED6" w:rsidRDefault="008142CA" w:rsidP="008142CA">
      <w:pPr>
        <w:spacing w:after="120" w:line="280" w:lineRule="atLeast"/>
        <w:ind w:left="227"/>
        <w:rPr>
          <w:rFonts w:cs="Arial"/>
          <w:b/>
          <w:sz w:val="20"/>
          <w:szCs w:val="20"/>
        </w:rPr>
      </w:pPr>
      <w:r w:rsidRPr="00352F89">
        <w:rPr>
          <w:rFonts w:cs="Arial"/>
          <w:b/>
          <w:sz w:val="20"/>
          <w:szCs w:val="20"/>
        </w:rPr>
        <w:t xml:space="preserve">2) </w:t>
      </w:r>
      <w:r w:rsidR="007B49E9">
        <w:rPr>
          <w:rFonts w:cs="Arial"/>
          <w:b/>
          <w:sz w:val="20"/>
          <w:szCs w:val="20"/>
        </w:rPr>
        <w:t xml:space="preserve">Způsob zabezpečení movitých věcí a zásob umístěných v ocelových kontejnerech </w:t>
      </w:r>
      <w:r w:rsidR="007B49E9">
        <w:rPr>
          <w:rFonts w:cs="Arial"/>
          <w:b/>
          <w:sz w:val="20"/>
          <w:szCs w:val="20"/>
        </w:rPr>
        <w:br/>
        <w:t>na volném prostranství</w:t>
      </w:r>
    </w:p>
    <w:p w14:paraId="58A60BAA" w14:textId="77777777" w:rsidR="007B49E9" w:rsidRPr="007B49E9" w:rsidRDefault="007B49E9" w:rsidP="008142CA">
      <w:pPr>
        <w:spacing w:after="120" w:line="280" w:lineRule="atLeast"/>
        <w:ind w:left="227"/>
        <w:rPr>
          <w:rFonts w:cs="Arial"/>
          <w:sz w:val="20"/>
          <w:szCs w:val="20"/>
        </w:rPr>
      </w:pPr>
      <w:r>
        <w:rPr>
          <w:rFonts w:cs="Arial"/>
          <w:sz w:val="20"/>
          <w:szCs w:val="20"/>
        </w:rPr>
        <w:t>Za uzavřený prostor se považují i ocelové kontejnery</w:t>
      </w:r>
      <w:r w:rsidR="00BA4AB7">
        <w:rPr>
          <w:rFonts w:cs="Arial"/>
          <w:sz w:val="20"/>
          <w:szCs w:val="20"/>
        </w:rPr>
        <w:t xml:space="preserve">. Pojistitel poskytne pojistné plnění do limitu plnění 500 000 Kč, pokud budou předměty pojištění umístěny v uzamčeném ocelovém kontejneru. Ocelový kontejner je </w:t>
      </w:r>
      <w:r w:rsidR="00DC5E78">
        <w:rPr>
          <w:rFonts w:cs="Arial"/>
          <w:sz w:val="20"/>
          <w:szCs w:val="20"/>
        </w:rPr>
        <w:t xml:space="preserve">uzamčen dvěma visacími zámky s kaleným třmenem o min. </w:t>
      </w:r>
      <w:r w:rsidR="00132269">
        <w:rPr>
          <w:rFonts w:cs="Arial"/>
          <w:sz w:val="20"/>
          <w:szCs w:val="20"/>
        </w:rPr>
        <w:t>Ø</w:t>
      </w:r>
      <w:r w:rsidR="00DC5E78">
        <w:rPr>
          <w:rFonts w:cs="Arial"/>
          <w:sz w:val="20"/>
          <w:szCs w:val="20"/>
        </w:rPr>
        <w:t>10 mm</w:t>
      </w:r>
      <w:r w:rsidR="00132269">
        <w:rPr>
          <w:rFonts w:cs="Arial"/>
          <w:sz w:val="20"/>
          <w:szCs w:val="20"/>
        </w:rPr>
        <w:t>.</w:t>
      </w:r>
    </w:p>
    <w:p w14:paraId="751A5F8E" w14:textId="77777777" w:rsidR="008142CA" w:rsidRPr="00352F89" w:rsidRDefault="00ED6ED6" w:rsidP="008142CA">
      <w:pPr>
        <w:spacing w:after="120" w:line="280" w:lineRule="atLeast"/>
        <w:ind w:left="227"/>
        <w:rPr>
          <w:rFonts w:cs="Arial"/>
          <w:b/>
          <w:sz w:val="20"/>
          <w:szCs w:val="20"/>
        </w:rPr>
      </w:pPr>
      <w:r>
        <w:rPr>
          <w:rFonts w:cs="Arial"/>
          <w:b/>
          <w:sz w:val="20"/>
          <w:szCs w:val="20"/>
        </w:rPr>
        <w:t xml:space="preserve">3) </w:t>
      </w:r>
      <w:r w:rsidR="008142CA" w:rsidRPr="00352F89">
        <w:rPr>
          <w:rFonts w:cs="Arial"/>
          <w:b/>
          <w:sz w:val="20"/>
          <w:szCs w:val="20"/>
        </w:rPr>
        <w:t>Způsob zabezpečení zásob a movitých věcí proti krádeži vloupáním:</w:t>
      </w:r>
    </w:p>
    <w:p w14:paraId="2AE8738A" w14:textId="5ED66BA9" w:rsidR="008142CA" w:rsidRPr="00352F89" w:rsidRDefault="008210FA" w:rsidP="008142CA">
      <w:pPr>
        <w:spacing w:after="120" w:line="280" w:lineRule="atLeast"/>
        <w:ind w:left="227"/>
        <w:rPr>
          <w:rFonts w:cs="Arial"/>
          <w:b/>
          <w:sz w:val="20"/>
          <w:szCs w:val="20"/>
        </w:rPr>
      </w:pPr>
      <w:r>
        <w:rPr>
          <w:rFonts w:cs="Arial"/>
          <w:b/>
          <w:sz w:val="20"/>
          <w:szCs w:val="20"/>
        </w:rPr>
        <w:t>a</w:t>
      </w:r>
      <w:r w:rsidR="00352F89">
        <w:rPr>
          <w:rFonts w:cs="Arial"/>
          <w:b/>
          <w:sz w:val="20"/>
          <w:szCs w:val="20"/>
        </w:rPr>
        <w:t>) do limitu plnění 100 </w:t>
      </w:r>
      <w:r w:rsidR="008142CA" w:rsidRPr="00352F89">
        <w:rPr>
          <w:rFonts w:cs="Arial"/>
          <w:b/>
          <w:sz w:val="20"/>
          <w:szCs w:val="20"/>
        </w:rPr>
        <w:t>000</w:t>
      </w:r>
      <w:r w:rsidR="00352F89">
        <w:rPr>
          <w:rFonts w:cs="Arial"/>
          <w:b/>
          <w:sz w:val="20"/>
          <w:szCs w:val="20"/>
        </w:rPr>
        <w:t xml:space="preserve"> </w:t>
      </w:r>
      <w:r w:rsidR="008142CA" w:rsidRPr="00352F89">
        <w:rPr>
          <w:rFonts w:cs="Arial"/>
          <w:b/>
          <w:sz w:val="20"/>
          <w:szCs w:val="20"/>
        </w:rPr>
        <w:t>Kč:</w:t>
      </w:r>
    </w:p>
    <w:p w14:paraId="32A54156" w14:textId="3B880522" w:rsidR="008142CA" w:rsidRPr="008142CA" w:rsidRDefault="008210FA" w:rsidP="008142CA">
      <w:pPr>
        <w:spacing w:after="120" w:line="280" w:lineRule="atLeast"/>
        <w:ind w:left="227"/>
        <w:rPr>
          <w:rFonts w:cs="Arial"/>
          <w:sz w:val="20"/>
          <w:szCs w:val="20"/>
        </w:rPr>
      </w:pPr>
      <w:r>
        <w:rPr>
          <w:rFonts w:cs="Arial"/>
          <w:sz w:val="20"/>
          <w:szCs w:val="20"/>
        </w:rPr>
        <w:t>a</w:t>
      </w:r>
      <w:r w:rsidR="008142CA" w:rsidRPr="008142CA">
        <w:rPr>
          <w:rFonts w:cs="Arial"/>
          <w:sz w:val="20"/>
          <w:szCs w:val="20"/>
        </w:rPr>
        <w:t xml:space="preserve">1) Vstupní otvory místnosti (dveře) jsou vybaveny minimálně jedním zadlabacím nebo </w:t>
      </w:r>
      <w:r w:rsidR="00C75758" w:rsidRPr="008142CA">
        <w:rPr>
          <w:rFonts w:cs="Arial"/>
          <w:sz w:val="20"/>
          <w:szCs w:val="20"/>
        </w:rPr>
        <w:t>dozickým</w:t>
      </w:r>
      <w:r w:rsidR="008142CA" w:rsidRPr="008142CA">
        <w:rPr>
          <w:rFonts w:cs="Arial"/>
          <w:sz w:val="20"/>
          <w:szCs w:val="20"/>
        </w:rPr>
        <w:t xml:space="preserve"> zámkem.</w:t>
      </w:r>
      <w:r w:rsidR="00352F89">
        <w:rPr>
          <w:rFonts w:cs="Arial"/>
          <w:sz w:val="20"/>
          <w:szCs w:val="20"/>
        </w:rPr>
        <w:t xml:space="preserve"> </w:t>
      </w:r>
      <w:r w:rsidR="008142CA" w:rsidRPr="008142CA">
        <w:rPr>
          <w:rFonts w:cs="Arial"/>
          <w:sz w:val="20"/>
          <w:szCs w:val="20"/>
        </w:rPr>
        <w:t>Věci v učebnách (počítače, přístroje apod.), které nejsou s ohledem na provoz školy uzamčeny a jsou volně</w:t>
      </w:r>
      <w:r w:rsidR="00352F89">
        <w:rPr>
          <w:rFonts w:cs="Arial"/>
          <w:sz w:val="20"/>
          <w:szCs w:val="20"/>
        </w:rPr>
        <w:t xml:space="preserve"> </w:t>
      </w:r>
      <w:r w:rsidR="008142CA" w:rsidRPr="008142CA">
        <w:rPr>
          <w:rFonts w:cs="Arial"/>
          <w:sz w:val="20"/>
          <w:szCs w:val="20"/>
        </w:rPr>
        <w:t>přístupné studentům, jsou uloženy v řádně uzamčených skříňkách.</w:t>
      </w:r>
    </w:p>
    <w:p w14:paraId="08C84FAB" w14:textId="7D6CB2B4" w:rsidR="008142CA" w:rsidRPr="008142CA" w:rsidRDefault="008210FA" w:rsidP="008142CA">
      <w:pPr>
        <w:spacing w:after="120" w:line="280" w:lineRule="atLeast"/>
        <w:ind w:left="227"/>
        <w:rPr>
          <w:rFonts w:cs="Arial"/>
          <w:sz w:val="20"/>
          <w:szCs w:val="20"/>
        </w:rPr>
      </w:pPr>
      <w:r>
        <w:rPr>
          <w:rFonts w:cs="Arial"/>
          <w:sz w:val="20"/>
          <w:szCs w:val="20"/>
        </w:rPr>
        <w:t>a</w:t>
      </w:r>
      <w:r w:rsidR="008142CA" w:rsidRPr="008142CA">
        <w:rPr>
          <w:rFonts w:cs="Arial"/>
          <w:sz w:val="20"/>
          <w:szCs w:val="20"/>
        </w:rPr>
        <w:t>2) Věci jsou uloženy v budovách školy na chodbách v dřevěných boxech opatřených visacím zámkem</w:t>
      </w:r>
      <w:r w:rsidR="00352F89">
        <w:rPr>
          <w:rFonts w:cs="Arial"/>
          <w:sz w:val="20"/>
          <w:szCs w:val="20"/>
        </w:rPr>
        <w:t xml:space="preserve"> </w:t>
      </w:r>
      <w:r w:rsidR="008142CA" w:rsidRPr="008142CA">
        <w:rPr>
          <w:rFonts w:cs="Arial"/>
          <w:sz w:val="20"/>
          <w:szCs w:val="20"/>
        </w:rPr>
        <w:t xml:space="preserve">s tvrzeným třmenem </w:t>
      </w:r>
      <w:r w:rsidR="001208AD">
        <w:rPr>
          <w:rFonts w:cs="Arial"/>
          <w:sz w:val="20"/>
          <w:szCs w:val="20"/>
        </w:rPr>
        <w:t xml:space="preserve">o </w:t>
      </w:r>
      <w:r w:rsidR="008142CA" w:rsidRPr="008142CA">
        <w:rPr>
          <w:rFonts w:cs="Arial"/>
          <w:sz w:val="20"/>
          <w:szCs w:val="20"/>
        </w:rPr>
        <w:t xml:space="preserve">min. </w:t>
      </w:r>
      <w:r w:rsidR="001208AD">
        <w:rPr>
          <w:rFonts w:cs="Arial"/>
          <w:sz w:val="20"/>
          <w:szCs w:val="20"/>
        </w:rPr>
        <w:t>Ø10 mm</w:t>
      </w:r>
      <w:r w:rsidR="008142CA" w:rsidRPr="008142CA">
        <w:rPr>
          <w:rFonts w:cs="Arial"/>
          <w:sz w:val="20"/>
          <w:szCs w:val="20"/>
        </w:rPr>
        <w:t>.</w:t>
      </w:r>
    </w:p>
    <w:p w14:paraId="7956D9D3" w14:textId="03CC245A" w:rsidR="008142CA" w:rsidRPr="00352F89" w:rsidRDefault="008210FA" w:rsidP="008142CA">
      <w:pPr>
        <w:spacing w:after="120" w:line="280" w:lineRule="atLeast"/>
        <w:ind w:left="227"/>
        <w:rPr>
          <w:rFonts w:cs="Arial"/>
          <w:b/>
          <w:sz w:val="20"/>
          <w:szCs w:val="20"/>
        </w:rPr>
      </w:pPr>
      <w:r>
        <w:rPr>
          <w:rFonts w:cs="Arial"/>
          <w:b/>
          <w:sz w:val="20"/>
          <w:szCs w:val="20"/>
        </w:rPr>
        <w:t>b</w:t>
      </w:r>
      <w:r w:rsidR="008142CA" w:rsidRPr="00352F89">
        <w:rPr>
          <w:rFonts w:cs="Arial"/>
          <w:b/>
          <w:sz w:val="20"/>
          <w:szCs w:val="20"/>
        </w:rPr>
        <w:t>) do limitu plnění od 100</w:t>
      </w:r>
      <w:r w:rsidR="00352F89">
        <w:rPr>
          <w:rFonts w:cs="Arial"/>
          <w:b/>
          <w:sz w:val="20"/>
          <w:szCs w:val="20"/>
        </w:rPr>
        <w:t> </w:t>
      </w:r>
      <w:r w:rsidR="008142CA" w:rsidRPr="00352F89">
        <w:rPr>
          <w:rFonts w:cs="Arial"/>
          <w:b/>
          <w:sz w:val="20"/>
          <w:szCs w:val="20"/>
        </w:rPr>
        <w:t>000</w:t>
      </w:r>
      <w:r w:rsidR="00352F89">
        <w:rPr>
          <w:rFonts w:cs="Arial"/>
          <w:b/>
          <w:sz w:val="20"/>
          <w:szCs w:val="20"/>
        </w:rPr>
        <w:t xml:space="preserve"> </w:t>
      </w:r>
      <w:r w:rsidR="008142CA" w:rsidRPr="00352F89">
        <w:rPr>
          <w:rFonts w:cs="Arial"/>
          <w:b/>
          <w:sz w:val="20"/>
          <w:szCs w:val="20"/>
        </w:rPr>
        <w:t>Kč do 500</w:t>
      </w:r>
      <w:r w:rsidR="00352F89">
        <w:rPr>
          <w:rFonts w:cs="Arial"/>
          <w:b/>
          <w:sz w:val="20"/>
          <w:szCs w:val="20"/>
        </w:rPr>
        <w:t> </w:t>
      </w:r>
      <w:r w:rsidR="008142CA" w:rsidRPr="00352F89">
        <w:rPr>
          <w:rFonts w:cs="Arial"/>
          <w:b/>
          <w:sz w:val="20"/>
          <w:szCs w:val="20"/>
        </w:rPr>
        <w:t>000</w:t>
      </w:r>
      <w:r w:rsidR="00352F89">
        <w:rPr>
          <w:rFonts w:cs="Arial"/>
          <w:b/>
          <w:sz w:val="20"/>
          <w:szCs w:val="20"/>
        </w:rPr>
        <w:t xml:space="preserve"> </w:t>
      </w:r>
      <w:r w:rsidR="008142CA" w:rsidRPr="00352F89">
        <w:rPr>
          <w:rFonts w:cs="Arial"/>
          <w:b/>
          <w:sz w:val="20"/>
          <w:szCs w:val="20"/>
        </w:rPr>
        <w:t>Kč:</w:t>
      </w:r>
    </w:p>
    <w:p w14:paraId="13EF5C8E" w14:textId="378EC4E6" w:rsidR="008210FA" w:rsidRDefault="008142CA" w:rsidP="0085758F">
      <w:pPr>
        <w:spacing w:after="120" w:line="280" w:lineRule="atLeast"/>
        <w:ind w:left="227"/>
        <w:rPr>
          <w:rFonts w:cs="Arial"/>
          <w:sz w:val="20"/>
          <w:szCs w:val="20"/>
        </w:rPr>
      </w:pPr>
      <w:r w:rsidRPr="008142CA">
        <w:rPr>
          <w:rFonts w:cs="Arial"/>
          <w:sz w:val="20"/>
          <w:szCs w:val="20"/>
        </w:rPr>
        <w:t>Dveře jsou celoplošné odolné proti vloupání (např. sololitové apod.) nebo prosklené (sklo se zvýšenou</w:t>
      </w:r>
      <w:r w:rsidR="00352F89">
        <w:rPr>
          <w:rFonts w:cs="Arial"/>
          <w:sz w:val="20"/>
          <w:szCs w:val="20"/>
        </w:rPr>
        <w:t xml:space="preserve"> </w:t>
      </w:r>
      <w:r w:rsidRPr="008142CA">
        <w:rPr>
          <w:rFonts w:cs="Arial"/>
          <w:sz w:val="20"/>
          <w:szCs w:val="20"/>
        </w:rPr>
        <w:t>odolností nebo opatřené folií nebo mříží nebo zabezpečené jiným způsobem, který by zvyšoval jeho</w:t>
      </w:r>
      <w:r w:rsidR="00352F89">
        <w:rPr>
          <w:rFonts w:cs="Arial"/>
          <w:sz w:val="20"/>
          <w:szCs w:val="20"/>
        </w:rPr>
        <w:t xml:space="preserve"> </w:t>
      </w:r>
      <w:r w:rsidRPr="008142CA">
        <w:rPr>
          <w:rFonts w:cs="Arial"/>
          <w:sz w:val="20"/>
          <w:szCs w:val="20"/>
        </w:rPr>
        <w:t xml:space="preserve">odolnost proti rozbití, proražení apod.) a budou vybaveny min. jedním zadlabacím zámkem nebo </w:t>
      </w:r>
      <w:r w:rsidR="00352F89">
        <w:rPr>
          <w:rFonts w:cs="Arial"/>
          <w:sz w:val="20"/>
          <w:szCs w:val="20"/>
        </w:rPr>
        <w:t xml:space="preserve">dozickým </w:t>
      </w:r>
      <w:r w:rsidRPr="008142CA">
        <w:rPr>
          <w:rFonts w:cs="Arial"/>
          <w:sz w:val="20"/>
          <w:szCs w:val="20"/>
        </w:rPr>
        <w:t>zámkem. Místnosti jsou zabezpečeny EZS s prostorovou a plášťovou ochranou (pohybová čidla, čidla</w:t>
      </w:r>
      <w:r w:rsidR="00352F89">
        <w:rPr>
          <w:rFonts w:cs="Arial"/>
          <w:sz w:val="20"/>
          <w:szCs w:val="20"/>
        </w:rPr>
        <w:t xml:space="preserve"> </w:t>
      </w:r>
      <w:r w:rsidRPr="008142CA">
        <w:rPr>
          <w:rFonts w:cs="Arial"/>
          <w:sz w:val="20"/>
          <w:szCs w:val="20"/>
        </w:rPr>
        <w:t>destrukce skla), u dvoukřídlých dveří je vyhlášen poplach při otevření křídla) a svodem signálu na vrátnici se</w:t>
      </w:r>
      <w:r w:rsidR="00352F89">
        <w:rPr>
          <w:rFonts w:cs="Arial"/>
          <w:sz w:val="20"/>
          <w:szCs w:val="20"/>
        </w:rPr>
        <w:t xml:space="preserve"> </w:t>
      </w:r>
      <w:r w:rsidRPr="008142CA">
        <w:rPr>
          <w:rFonts w:cs="Arial"/>
          <w:sz w:val="20"/>
          <w:szCs w:val="20"/>
        </w:rPr>
        <w:t>stálou ostrahou.</w:t>
      </w:r>
    </w:p>
    <w:p w14:paraId="60BE7273" w14:textId="03B4B59F" w:rsidR="008142CA" w:rsidRPr="00352F89" w:rsidRDefault="00275FCD" w:rsidP="008142CA">
      <w:pPr>
        <w:spacing w:after="120" w:line="280" w:lineRule="atLeast"/>
        <w:ind w:left="227"/>
        <w:rPr>
          <w:rFonts w:cs="Arial"/>
          <w:b/>
          <w:sz w:val="20"/>
          <w:szCs w:val="20"/>
        </w:rPr>
      </w:pPr>
      <w:r>
        <w:rPr>
          <w:rFonts w:cs="Arial"/>
          <w:b/>
          <w:sz w:val="20"/>
          <w:szCs w:val="20"/>
        </w:rPr>
        <w:t>c</w:t>
      </w:r>
      <w:r w:rsidR="008142CA" w:rsidRPr="00352F89">
        <w:rPr>
          <w:rFonts w:cs="Arial"/>
          <w:b/>
          <w:sz w:val="20"/>
          <w:szCs w:val="20"/>
        </w:rPr>
        <w:t>) do limitu plnění od 500</w:t>
      </w:r>
      <w:r w:rsidR="00352F89" w:rsidRPr="00352F89">
        <w:rPr>
          <w:rFonts w:cs="Arial"/>
          <w:b/>
          <w:sz w:val="20"/>
          <w:szCs w:val="20"/>
        </w:rPr>
        <w:t> </w:t>
      </w:r>
      <w:r w:rsidR="008142CA" w:rsidRPr="00352F89">
        <w:rPr>
          <w:rFonts w:cs="Arial"/>
          <w:b/>
          <w:sz w:val="20"/>
          <w:szCs w:val="20"/>
        </w:rPr>
        <w:t>000</w:t>
      </w:r>
      <w:r w:rsidR="00352F89" w:rsidRPr="00352F89">
        <w:rPr>
          <w:rFonts w:cs="Arial"/>
          <w:b/>
          <w:sz w:val="20"/>
          <w:szCs w:val="20"/>
        </w:rPr>
        <w:t xml:space="preserve"> </w:t>
      </w:r>
      <w:r w:rsidR="008142CA" w:rsidRPr="00352F89">
        <w:rPr>
          <w:rFonts w:cs="Arial"/>
          <w:b/>
          <w:sz w:val="20"/>
          <w:szCs w:val="20"/>
        </w:rPr>
        <w:t>Kč do 2 000</w:t>
      </w:r>
      <w:r w:rsidR="00352F89" w:rsidRPr="00352F89">
        <w:rPr>
          <w:rFonts w:cs="Arial"/>
          <w:b/>
          <w:sz w:val="20"/>
          <w:szCs w:val="20"/>
        </w:rPr>
        <w:t> </w:t>
      </w:r>
      <w:r w:rsidR="008142CA" w:rsidRPr="00352F89">
        <w:rPr>
          <w:rFonts w:cs="Arial"/>
          <w:b/>
          <w:sz w:val="20"/>
          <w:szCs w:val="20"/>
        </w:rPr>
        <w:t>000</w:t>
      </w:r>
      <w:r w:rsidR="00352F89" w:rsidRPr="00352F89">
        <w:rPr>
          <w:rFonts w:cs="Arial"/>
          <w:b/>
          <w:sz w:val="20"/>
          <w:szCs w:val="20"/>
        </w:rPr>
        <w:t xml:space="preserve"> </w:t>
      </w:r>
      <w:r w:rsidR="008142CA" w:rsidRPr="00352F89">
        <w:rPr>
          <w:rFonts w:cs="Arial"/>
          <w:b/>
          <w:sz w:val="20"/>
          <w:szCs w:val="20"/>
        </w:rPr>
        <w:t>Kč:</w:t>
      </w:r>
    </w:p>
    <w:p w14:paraId="05398ED5" w14:textId="77777777" w:rsidR="00107B6A" w:rsidRDefault="008142CA" w:rsidP="008142CA">
      <w:pPr>
        <w:spacing w:after="120" w:line="280" w:lineRule="atLeast"/>
        <w:ind w:left="227"/>
        <w:rPr>
          <w:rFonts w:cs="Arial"/>
          <w:sz w:val="20"/>
          <w:szCs w:val="20"/>
        </w:rPr>
      </w:pPr>
      <w:r w:rsidRPr="008142CA">
        <w:rPr>
          <w:rFonts w:cs="Arial"/>
          <w:sz w:val="20"/>
          <w:szCs w:val="20"/>
        </w:rPr>
        <w:t xml:space="preserve">Místnost je opatřena dveřmi (celoplošné odolné proti vloupání, např. sololitové apod., nebo prosklené </w:t>
      </w:r>
      <w:r w:rsidR="00352F89">
        <w:rPr>
          <w:rFonts w:cs="Arial"/>
          <w:sz w:val="20"/>
          <w:szCs w:val="20"/>
        </w:rPr>
        <w:t>–</w:t>
      </w:r>
      <w:r w:rsidRPr="008142CA">
        <w:rPr>
          <w:rFonts w:cs="Arial"/>
          <w:sz w:val="20"/>
          <w:szCs w:val="20"/>
        </w:rPr>
        <w:t xml:space="preserve"> sklo</w:t>
      </w:r>
      <w:r w:rsidR="00352F89">
        <w:rPr>
          <w:rFonts w:cs="Arial"/>
          <w:sz w:val="20"/>
          <w:szCs w:val="20"/>
        </w:rPr>
        <w:t xml:space="preserve"> </w:t>
      </w:r>
      <w:r w:rsidRPr="008142CA">
        <w:rPr>
          <w:rFonts w:cs="Arial"/>
          <w:sz w:val="20"/>
          <w:szCs w:val="20"/>
        </w:rPr>
        <w:t>se zvýšenou odolností nebo opatřené folií nebo mříží nebo zabezpečené jiným způsobem) s</w:t>
      </w:r>
      <w:r w:rsidR="00352F89">
        <w:rPr>
          <w:rFonts w:cs="Arial"/>
          <w:sz w:val="20"/>
          <w:szCs w:val="20"/>
        </w:rPr>
        <w:t> </w:t>
      </w:r>
      <w:r w:rsidRPr="008142CA">
        <w:rPr>
          <w:rFonts w:cs="Arial"/>
          <w:sz w:val="20"/>
          <w:szCs w:val="20"/>
        </w:rPr>
        <w:t>bezpečnostním</w:t>
      </w:r>
      <w:r w:rsidR="00352F89">
        <w:rPr>
          <w:rFonts w:cs="Arial"/>
          <w:sz w:val="20"/>
          <w:szCs w:val="20"/>
        </w:rPr>
        <w:t xml:space="preserve"> </w:t>
      </w:r>
      <w:r w:rsidRPr="008142CA">
        <w:rPr>
          <w:rFonts w:cs="Arial"/>
          <w:sz w:val="20"/>
          <w:szCs w:val="20"/>
        </w:rPr>
        <w:t>zámkem typ R1. Místnosti jsou zabezpečeny EZS s prostorovou a plášťovou ochranou (pohybová čidla,</w:t>
      </w:r>
      <w:r w:rsidR="00352F89">
        <w:rPr>
          <w:rFonts w:cs="Arial"/>
          <w:sz w:val="20"/>
          <w:szCs w:val="20"/>
        </w:rPr>
        <w:t xml:space="preserve"> </w:t>
      </w:r>
      <w:r w:rsidRPr="008142CA">
        <w:rPr>
          <w:rFonts w:cs="Arial"/>
          <w:sz w:val="20"/>
          <w:szCs w:val="20"/>
        </w:rPr>
        <w:t>čidla destrukce skla), u dvoukřídlých dveří je vyhlášen poplach při otevření křídla) a svodem signálu na</w:t>
      </w:r>
      <w:r w:rsidR="00352F89">
        <w:rPr>
          <w:rFonts w:cs="Arial"/>
          <w:sz w:val="20"/>
          <w:szCs w:val="20"/>
        </w:rPr>
        <w:t xml:space="preserve"> </w:t>
      </w:r>
      <w:r w:rsidRPr="008142CA">
        <w:rPr>
          <w:rFonts w:cs="Arial"/>
          <w:sz w:val="20"/>
          <w:szCs w:val="20"/>
        </w:rPr>
        <w:t>vrátnici se stálou ostrahou.</w:t>
      </w:r>
    </w:p>
    <w:p w14:paraId="0C2927D2" w14:textId="77777777" w:rsidR="00352F89" w:rsidRPr="00352F89" w:rsidRDefault="00352F89" w:rsidP="00352F89">
      <w:pPr>
        <w:spacing w:after="120" w:line="280" w:lineRule="atLeast"/>
        <w:ind w:left="227"/>
        <w:rPr>
          <w:rFonts w:cs="Arial"/>
          <w:b/>
          <w:sz w:val="20"/>
          <w:szCs w:val="20"/>
        </w:rPr>
      </w:pPr>
      <w:r w:rsidRPr="00352F89">
        <w:rPr>
          <w:rFonts w:cs="Arial"/>
          <w:b/>
          <w:sz w:val="20"/>
          <w:szCs w:val="20"/>
        </w:rPr>
        <w:t>3) Způsob zabezpečení cenností proti krádeži vloupáním:</w:t>
      </w:r>
    </w:p>
    <w:p w14:paraId="21E95DBC" w14:textId="77777777" w:rsidR="00352F89" w:rsidRPr="00352F89" w:rsidRDefault="00352F89" w:rsidP="002C15F3">
      <w:pPr>
        <w:spacing w:after="60" w:line="280" w:lineRule="atLeast"/>
        <w:ind w:left="227"/>
        <w:rPr>
          <w:rFonts w:cs="Arial"/>
          <w:b/>
          <w:sz w:val="20"/>
          <w:szCs w:val="20"/>
        </w:rPr>
      </w:pPr>
      <w:r w:rsidRPr="00352F89">
        <w:rPr>
          <w:rFonts w:cs="Arial"/>
          <w:b/>
          <w:sz w:val="20"/>
          <w:szCs w:val="20"/>
        </w:rPr>
        <w:t>a) do limit plnění 30 000 Kč</w:t>
      </w:r>
    </w:p>
    <w:p w14:paraId="10BDC2DA" w14:textId="77777777" w:rsidR="00352F89" w:rsidRDefault="00352F89" w:rsidP="00352F89">
      <w:pPr>
        <w:spacing w:after="120" w:line="280" w:lineRule="atLeast"/>
        <w:ind w:left="227"/>
        <w:rPr>
          <w:rFonts w:cs="Arial"/>
          <w:sz w:val="20"/>
          <w:szCs w:val="20"/>
        </w:rPr>
      </w:pPr>
      <w:r w:rsidRPr="00352F89">
        <w:rPr>
          <w:rFonts w:cs="Arial"/>
          <w:sz w:val="20"/>
          <w:szCs w:val="20"/>
        </w:rPr>
        <w:t>Cennosti uloženy v příruční plechové uzamčené pokladně, která je umístěna v uzamčeném stole nebo ve</w:t>
      </w:r>
      <w:r>
        <w:rPr>
          <w:rFonts w:cs="Arial"/>
          <w:sz w:val="20"/>
          <w:szCs w:val="20"/>
        </w:rPr>
        <w:t xml:space="preserve"> </w:t>
      </w:r>
      <w:r w:rsidRPr="00352F89">
        <w:rPr>
          <w:rFonts w:cs="Arial"/>
          <w:sz w:val="20"/>
          <w:szCs w:val="20"/>
        </w:rPr>
        <w:t>skříni, v uzamčené místnosti.</w:t>
      </w:r>
    </w:p>
    <w:p w14:paraId="5AE8D898" w14:textId="77777777" w:rsidR="00352F89" w:rsidRPr="00352F89" w:rsidRDefault="00352F89" w:rsidP="002C15F3">
      <w:pPr>
        <w:spacing w:after="60" w:line="280" w:lineRule="atLeast"/>
        <w:ind w:left="227"/>
        <w:rPr>
          <w:rFonts w:cs="Arial"/>
          <w:b/>
          <w:sz w:val="20"/>
          <w:szCs w:val="20"/>
        </w:rPr>
      </w:pPr>
      <w:r w:rsidRPr="00352F89">
        <w:rPr>
          <w:rFonts w:cs="Arial"/>
          <w:b/>
          <w:sz w:val="20"/>
          <w:szCs w:val="20"/>
        </w:rPr>
        <w:t>b) do limitu plnění 1 000 000 Kč.</w:t>
      </w:r>
    </w:p>
    <w:p w14:paraId="31CA3049" w14:textId="7528A6ED" w:rsidR="00352F89" w:rsidRDefault="00352F89" w:rsidP="00352F89">
      <w:pPr>
        <w:spacing w:after="120" w:line="280" w:lineRule="atLeast"/>
        <w:ind w:left="227"/>
        <w:rPr>
          <w:rFonts w:cs="Arial"/>
          <w:sz w:val="20"/>
          <w:szCs w:val="20"/>
        </w:rPr>
      </w:pPr>
      <w:r w:rsidRPr="00352F89">
        <w:rPr>
          <w:rFonts w:cs="Arial"/>
          <w:sz w:val="20"/>
          <w:szCs w:val="20"/>
        </w:rPr>
        <w:t>Místnost je opatřena bezpečnostními dveřmi s vícebodovým zamykáním s bezpečnostním zámkem.</w:t>
      </w:r>
      <w:r w:rsidR="00B5607F">
        <w:rPr>
          <w:rFonts w:cs="Arial"/>
          <w:sz w:val="20"/>
          <w:szCs w:val="20"/>
        </w:rPr>
        <w:t xml:space="preserve"> </w:t>
      </w:r>
      <w:r w:rsidRPr="00352F89">
        <w:rPr>
          <w:rFonts w:cs="Arial"/>
          <w:sz w:val="20"/>
          <w:szCs w:val="20"/>
        </w:rPr>
        <w:t>Místnost je zabezpečena EZS s prostorovou a plášťovou ochranou (pohybová čidla, čidla destrukce skla) se</w:t>
      </w:r>
      <w:r w:rsidR="00B5607F">
        <w:rPr>
          <w:rFonts w:cs="Arial"/>
          <w:sz w:val="20"/>
          <w:szCs w:val="20"/>
        </w:rPr>
        <w:t xml:space="preserve"> </w:t>
      </w:r>
      <w:r w:rsidRPr="00352F89">
        <w:rPr>
          <w:rFonts w:cs="Arial"/>
          <w:sz w:val="20"/>
          <w:szCs w:val="20"/>
        </w:rPr>
        <w:t>svodem signálu na vrátnici</w:t>
      </w:r>
      <w:r w:rsidR="00275FCD">
        <w:rPr>
          <w:rFonts w:cs="Arial"/>
          <w:sz w:val="20"/>
          <w:szCs w:val="20"/>
        </w:rPr>
        <w:t xml:space="preserve"> / recepci</w:t>
      </w:r>
      <w:r w:rsidRPr="00352F89">
        <w:rPr>
          <w:rFonts w:cs="Arial"/>
          <w:sz w:val="20"/>
          <w:szCs w:val="20"/>
        </w:rPr>
        <w:t>, na oknech jsou mříže a po vstupu do místnosti pokladny je</w:t>
      </w:r>
      <w:r w:rsidR="00B5607F">
        <w:rPr>
          <w:rFonts w:cs="Arial"/>
          <w:sz w:val="20"/>
          <w:szCs w:val="20"/>
        </w:rPr>
        <w:t xml:space="preserve"> </w:t>
      </w:r>
      <w:r w:rsidRPr="00352F89">
        <w:rPr>
          <w:rFonts w:cs="Arial"/>
          <w:sz w:val="20"/>
          <w:szCs w:val="20"/>
        </w:rPr>
        <w:t>přepážka od zbytku místnosti oddělena bezpečnostním sklem. Cennosti jsou dále uloženy v trezoru bezpečnostní třídy I</w:t>
      </w:r>
      <w:r w:rsidR="00275FCD">
        <w:rPr>
          <w:rFonts w:cs="Arial"/>
          <w:sz w:val="20"/>
          <w:szCs w:val="20"/>
        </w:rPr>
        <w:t>II.</w:t>
      </w:r>
      <w:r w:rsidRPr="00352F89">
        <w:rPr>
          <w:rFonts w:cs="Arial"/>
          <w:sz w:val="20"/>
          <w:szCs w:val="20"/>
        </w:rPr>
        <w:t xml:space="preserve"> a hmotnosti</w:t>
      </w:r>
      <w:r w:rsidR="00275FCD">
        <w:rPr>
          <w:rFonts w:cs="Arial"/>
          <w:sz w:val="20"/>
          <w:szCs w:val="20"/>
        </w:rPr>
        <w:t xml:space="preserve"> </w:t>
      </w:r>
      <w:r w:rsidRPr="00352F89">
        <w:rPr>
          <w:rFonts w:cs="Arial"/>
          <w:sz w:val="20"/>
          <w:szCs w:val="20"/>
        </w:rPr>
        <w:t xml:space="preserve">nad </w:t>
      </w:r>
      <w:r w:rsidR="00275FCD">
        <w:rPr>
          <w:rFonts w:cs="Arial"/>
          <w:sz w:val="20"/>
          <w:szCs w:val="20"/>
        </w:rPr>
        <w:t>5</w:t>
      </w:r>
      <w:r w:rsidRPr="00352F89">
        <w:rPr>
          <w:rFonts w:cs="Arial"/>
          <w:sz w:val="20"/>
          <w:szCs w:val="20"/>
        </w:rPr>
        <w:t>00 kg.</w:t>
      </w:r>
    </w:p>
    <w:p w14:paraId="309EC89C" w14:textId="5682D8EB" w:rsidR="00D90EC5" w:rsidRDefault="00D90EC5">
      <w:pPr>
        <w:jc w:val="left"/>
        <w:rPr>
          <w:rFonts w:cs="Arial"/>
          <w:sz w:val="20"/>
          <w:szCs w:val="20"/>
        </w:rPr>
      </w:pPr>
      <w:r>
        <w:rPr>
          <w:rFonts w:cs="Arial"/>
          <w:sz w:val="20"/>
          <w:szCs w:val="20"/>
        </w:rPr>
        <w:br w:type="page"/>
      </w:r>
    </w:p>
    <w:p w14:paraId="74C89DD0" w14:textId="77777777" w:rsidR="00D90EC5" w:rsidRDefault="00D90EC5" w:rsidP="00352F89">
      <w:pPr>
        <w:spacing w:after="120" w:line="280" w:lineRule="atLeast"/>
        <w:ind w:left="227"/>
        <w:rPr>
          <w:rFonts w:cs="Arial"/>
          <w:sz w:val="20"/>
          <w:szCs w:val="20"/>
        </w:rPr>
      </w:pPr>
    </w:p>
    <w:p w14:paraId="13E2B4DE" w14:textId="77777777" w:rsidR="00B5607F" w:rsidRPr="00B5607F" w:rsidRDefault="00B5607F" w:rsidP="00B5607F">
      <w:pPr>
        <w:spacing w:before="240" w:after="120" w:line="280" w:lineRule="atLeast"/>
        <w:ind w:left="227"/>
        <w:rPr>
          <w:rFonts w:cs="Arial"/>
          <w:b/>
          <w:sz w:val="20"/>
          <w:szCs w:val="20"/>
        </w:rPr>
      </w:pPr>
      <w:r w:rsidRPr="00275FCD">
        <w:rPr>
          <w:rFonts w:cs="Arial"/>
          <w:b/>
          <w:sz w:val="20"/>
          <w:szCs w:val="20"/>
          <w:highlight w:val="yellow"/>
        </w:rPr>
        <w:t>III. Odchylné způsoby zabezpečení přepravovaných cenností</w:t>
      </w:r>
    </w:p>
    <w:p w14:paraId="7B415886" w14:textId="77777777" w:rsidR="00B5607F" w:rsidRPr="00B5607F" w:rsidRDefault="00B5607F" w:rsidP="00B5607F">
      <w:pPr>
        <w:spacing w:after="120" w:line="280" w:lineRule="atLeast"/>
        <w:ind w:left="227"/>
        <w:rPr>
          <w:rFonts w:cs="Arial"/>
          <w:sz w:val="20"/>
          <w:szCs w:val="20"/>
        </w:rPr>
      </w:pPr>
      <w:r w:rsidRPr="00B5607F">
        <w:rPr>
          <w:rFonts w:cs="Arial"/>
          <w:sz w:val="20"/>
          <w:szCs w:val="20"/>
        </w:rPr>
        <w:t>Cennosti (tj. platné tuzemské a cizozemské státovky, bankovky a mince, vkladní a šekové knížky, platební</w:t>
      </w:r>
      <w:r>
        <w:rPr>
          <w:rFonts w:cs="Arial"/>
          <w:sz w:val="20"/>
          <w:szCs w:val="20"/>
        </w:rPr>
        <w:t xml:space="preserve"> </w:t>
      </w:r>
      <w:r w:rsidRPr="00B5607F">
        <w:rPr>
          <w:rFonts w:cs="Arial"/>
          <w:sz w:val="20"/>
          <w:szCs w:val="20"/>
        </w:rPr>
        <w:t>karty a jiné obdobné dokumenty, cenné papíry a ceniny)</w:t>
      </w:r>
    </w:p>
    <w:p w14:paraId="14EE0F82" w14:textId="77777777" w:rsidR="00B5607F" w:rsidRPr="00B5607F" w:rsidRDefault="00B5607F" w:rsidP="00B5607F">
      <w:pPr>
        <w:spacing w:after="120" w:line="280" w:lineRule="atLeast"/>
        <w:ind w:left="227"/>
        <w:rPr>
          <w:rFonts w:cs="Arial"/>
          <w:b/>
          <w:sz w:val="20"/>
          <w:szCs w:val="20"/>
        </w:rPr>
      </w:pPr>
      <w:r w:rsidRPr="00B5607F">
        <w:rPr>
          <w:rFonts w:cs="Arial"/>
          <w:b/>
          <w:sz w:val="20"/>
          <w:szCs w:val="20"/>
        </w:rPr>
        <w:t>a) do limitu plnění 100 000 Kč</w:t>
      </w:r>
    </w:p>
    <w:p w14:paraId="0BD5A766" w14:textId="067A4695" w:rsidR="00B5607F" w:rsidRPr="00B5607F" w:rsidRDefault="00B5607F" w:rsidP="00B5607F">
      <w:pPr>
        <w:spacing w:after="120" w:line="280" w:lineRule="atLeast"/>
        <w:ind w:left="227"/>
        <w:rPr>
          <w:rFonts w:cs="Arial"/>
          <w:sz w:val="20"/>
          <w:szCs w:val="20"/>
        </w:rPr>
      </w:pPr>
      <w:r>
        <w:rPr>
          <w:rFonts w:cs="Arial"/>
          <w:sz w:val="20"/>
          <w:szCs w:val="20"/>
        </w:rPr>
        <w:t>Peníze a c</w:t>
      </w:r>
      <w:r w:rsidRPr="00B5607F">
        <w:rPr>
          <w:rFonts w:cs="Arial"/>
          <w:sz w:val="20"/>
          <w:szCs w:val="20"/>
        </w:rPr>
        <w:t>ennosti jsou přepravovány alespoň jednou osobou, která je vybavena obranným prostředkem (např.</w:t>
      </w:r>
      <w:r w:rsidR="008669F0">
        <w:rPr>
          <w:rFonts w:cs="Arial"/>
          <w:sz w:val="20"/>
          <w:szCs w:val="20"/>
        </w:rPr>
        <w:t xml:space="preserve"> </w:t>
      </w:r>
      <w:r w:rsidRPr="00B5607F">
        <w:rPr>
          <w:rFonts w:cs="Arial"/>
          <w:sz w:val="20"/>
          <w:szCs w:val="20"/>
        </w:rPr>
        <w:t>sprejem) a jsou uloženy v pevné, řádně uzavřené kabele nebo kufříku</w:t>
      </w:r>
      <w:r>
        <w:rPr>
          <w:rFonts w:cs="Arial"/>
          <w:sz w:val="20"/>
          <w:szCs w:val="20"/>
        </w:rPr>
        <w:t>;</w:t>
      </w:r>
    </w:p>
    <w:p w14:paraId="1E83BE3C" w14:textId="158AA854" w:rsidR="00B5607F" w:rsidRPr="00B5607F" w:rsidRDefault="00B5607F" w:rsidP="00B5607F">
      <w:pPr>
        <w:spacing w:after="120" w:line="280" w:lineRule="atLeast"/>
        <w:ind w:left="227"/>
        <w:rPr>
          <w:rFonts w:cs="Arial"/>
          <w:b/>
          <w:sz w:val="20"/>
          <w:szCs w:val="20"/>
        </w:rPr>
      </w:pPr>
      <w:r w:rsidRPr="00B5607F">
        <w:rPr>
          <w:rFonts w:cs="Arial"/>
          <w:b/>
          <w:sz w:val="20"/>
          <w:szCs w:val="20"/>
        </w:rPr>
        <w:t xml:space="preserve">b) do limitu plnění </w:t>
      </w:r>
      <w:r>
        <w:rPr>
          <w:rFonts w:cs="Arial"/>
          <w:b/>
          <w:sz w:val="20"/>
          <w:szCs w:val="20"/>
        </w:rPr>
        <w:t xml:space="preserve">200 000 </w:t>
      </w:r>
      <w:r w:rsidRPr="00B5607F">
        <w:rPr>
          <w:rFonts w:cs="Arial"/>
          <w:b/>
          <w:sz w:val="20"/>
          <w:szCs w:val="20"/>
        </w:rPr>
        <w:t>Kč</w:t>
      </w:r>
    </w:p>
    <w:p w14:paraId="3F25D6E5" w14:textId="7EC5776D" w:rsidR="00B5607F" w:rsidRDefault="00B5607F" w:rsidP="00B5607F">
      <w:pPr>
        <w:spacing w:after="120" w:line="280" w:lineRule="atLeast"/>
        <w:ind w:left="227"/>
        <w:rPr>
          <w:rFonts w:cs="Arial"/>
          <w:sz w:val="20"/>
          <w:szCs w:val="20"/>
        </w:rPr>
      </w:pPr>
      <w:r>
        <w:rPr>
          <w:rFonts w:cs="Arial"/>
          <w:sz w:val="20"/>
          <w:szCs w:val="20"/>
        </w:rPr>
        <w:t>Peníze a c</w:t>
      </w:r>
      <w:r w:rsidRPr="00B5607F">
        <w:rPr>
          <w:rFonts w:cs="Arial"/>
          <w:sz w:val="20"/>
          <w:szCs w:val="20"/>
        </w:rPr>
        <w:t>ennosti jsou přepravovány alespoň dvěma osobami, z nichž alespoň jedna je vybavena funkčním obranným</w:t>
      </w:r>
      <w:r>
        <w:rPr>
          <w:rFonts w:cs="Arial"/>
          <w:sz w:val="20"/>
          <w:szCs w:val="20"/>
        </w:rPr>
        <w:t xml:space="preserve"> </w:t>
      </w:r>
      <w:r w:rsidRPr="00B5607F">
        <w:rPr>
          <w:rFonts w:cs="Arial"/>
          <w:sz w:val="20"/>
          <w:szCs w:val="20"/>
        </w:rPr>
        <w:t>prostředkem (např. sprejem) a zároveň jsou uloženy v pevné, řádně uzavřené kabele nebo kufříku</w:t>
      </w:r>
      <w:r>
        <w:rPr>
          <w:rFonts w:cs="Arial"/>
          <w:sz w:val="20"/>
          <w:szCs w:val="20"/>
        </w:rPr>
        <w:t>;</w:t>
      </w:r>
    </w:p>
    <w:p w14:paraId="29B1D387" w14:textId="77777777" w:rsidR="00B5607F" w:rsidRPr="00B5607F" w:rsidRDefault="00B5607F" w:rsidP="00B5607F">
      <w:pPr>
        <w:spacing w:after="120" w:line="280" w:lineRule="atLeast"/>
        <w:ind w:left="227"/>
        <w:rPr>
          <w:rFonts w:cs="Arial"/>
          <w:b/>
          <w:sz w:val="20"/>
          <w:szCs w:val="20"/>
        </w:rPr>
      </w:pPr>
      <w:r w:rsidRPr="00B5607F">
        <w:rPr>
          <w:rFonts w:cs="Arial"/>
          <w:b/>
          <w:sz w:val="20"/>
          <w:szCs w:val="20"/>
        </w:rPr>
        <w:t>c) do limitu plnění 500 000 Kč</w:t>
      </w:r>
    </w:p>
    <w:p w14:paraId="260CAEB2" w14:textId="77777777" w:rsidR="00B5607F" w:rsidRDefault="00B5607F" w:rsidP="00B5607F">
      <w:pPr>
        <w:spacing w:after="120" w:line="280" w:lineRule="atLeast"/>
        <w:ind w:left="227"/>
        <w:rPr>
          <w:rFonts w:cs="Arial"/>
          <w:sz w:val="20"/>
          <w:szCs w:val="20"/>
        </w:rPr>
      </w:pPr>
      <w:r>
        <w:rPr>
          <w:rFonts w:cs="Arial"/>
          <w:sz w:val="20"/>
          <w:szCs w:val="20"/>
        </w:rPr>
        <w:t>Peníze a c</w:t>
      </w:r>
      <w:r w:rsidRPr="00B5607F">
        <w:rPr>
          <w:rFonts w:cs="Arial"/>
          <w:sz w:val="20"/>
          <w:szCs w:val="20"/>
        </w:rPr>
        <w:t>ennosti jsou přepravovány alespoň dvěma osobami uzavřeným osobním automobilem. Alespoň jedna z</w:t>
      </w:r>
      <w:r>
        <w:rPr>
          <w:rFonts w:cs="Arial"/>
          <w:sz w:val="20"/>
          <w:szCs w:val="20"/>
        </w:rPr>
        <w:t> </w:t>
      </w:r>
      <w:r w:rsidRPr="00B5607F">
        <w:rPr>
          <w:rFonts w:cs="Arial"/>
          <w:sz w:val="20"/>
          <w:szCs w:val="20"/>
        </w:rPr>
        <w:t>osob</w:t>
      </w:r>
      <w:r>
        <w:rPr>
          <w:rFonts w:cs="Arial"/>
          <w:sz w:val="20"/>
          <w:szCs w:val="20"/>
        </w:rPr>
        <w:t xml:space="preserve"> </w:t>
      </w:r>
      <w:r w:rsidRPr="00B5607F">
        <w:rPr>
          <w:rFonts w:cs="Arial"/>
          <w:sz w:val="20"/>
          <w:szCs w:val="20"/>
        </w:rPr>
        <w:t>musí být vybavena funkčním obranným prostředkem (např. sprejem) a peníze a cennosti jsou zároveň</w:t>
      </w:r>
      <w:r>
        <w:rPr>
          <w:rFonts w:cs="Arial"/>
          <w:sz w:val="20"/>
          <w:szCs w:val="20"/>
        </w:rPr>
        <w:t xml:space="preserve"> </w:t>
      </w:r>
      <w:r w:rsidRPr="00B5607F">
        <w:rPr>
          <w:rFonts w:cs="Arial"/>
          <w:sz w:val="20"/>
          <w:szCs w:val="20"/>
        </w:rPr>
        <w:t>uloženy v pevné, řádně uzavřené kabele nebo kufříku.</w:t>
      </w:r>
    </w:p>
    <w:p w14:paraId="2996D00E" w14:textId="77777777" w:rsidR="00DF0C2C" w:rsidRDefault="00DF0C2C" w:rsidP="003A73E4">
      <w:pPr>
        <w:spacing w:after="120" w:line="280" w:lineRule="atLeast"/>
        <w:rPr>
          <w:rFonts w:cs="Arial"/>
          <w:sz w:val="20"/>
          <w:szCs w:val="20"/>
        </w:rPr>
      </w:pPr>
    </w:p>
    <w:p w14:paraId="406DDDB3" w14:textId="09C6C596" w:rsidR="00F41E3A" w:rsidRDefault="00F41E3A" w:rsidP="003A73E4">
      <w:pPr>
        <w:spacing w:after="120" w:line="280" w:lineRule="atLeast"/>
        <w:rPr>
          <w:rFonts w:cs="Arial"/>
          <w:sz w:val="20"/>
          <w:szCs w:val="20"/>
        </w:rPr>
        <w:sectPr w:rsidR="00F41E3A" w:rsidSect="00024FD6">
          <w:headerReference w:type="default" r:id="rId8"/>
          <w:footerReference w:type="default" r:id="rId9"/>
          <w:type w:val="continuous"/>
          <w:pgSz w:w="11906" w:h="16838" w:code="9"/>
          <w:pgMar w:top="57" w:right="1418" w:bottom="1134" w:left="1418" w:header="1191" w:footer="567" w:gutter="0"/>
          <w:cols w:space="708"/>
          <w:docGrid w:linePitch="360"/>
        </w:sectPr>
      </w:pPr>
    </w:p>
    <w:p w14:paraId="3127CCDB" w14:textId="77777777" w:rsidR="008669F0" w:rsidRDefault="008669F0">
      <w:pPr>
        <w:jc w:val="left"/>
        <w:rPr>
          <w:b/>
          <w:sz w:val="24"/>
        </w:rPr>
      </w:pPr>
      <w:r>
        <w:br w:type="page"/>
      </w:r>
    </w:p>
    <w:p w14:paraId="59A1BEFB" w14:textId="77777777" w:rsidR="008669F0" w:rsidRPr="008669F0" w:rsidRDefault="008669F0" w:rsidP="008669F0">
      <w:pPr>
        <w:pStyle w:val="Zkladntext"/>
        <w:spacing w:line="280" w:lineRule="atLeast"/>
        <w:jc w:val="both"/>
        <w:rPr>
          <w:rFonts w:ascii="Arial" w:hAnsi="Arial" w:cs="Arial"/>
          <w:b w:val="0"/>
          <w:bCs/>
          <w:i w:val="0"/>
          <w:sz w:val="20"/>
          <w:u w:val="none"/>
        </w:rPr>
      </w:pPr>
    </w:p>
    <w:p w14:paraId="51DEE621" w14:textId="38421162" w:rsidR="00450AC2" w:rsidRPr="00B90A7C" w:rsidRDefault="00450AC2" w:rsidP="008669F0">
      <w:pPr>
        <w:pStyle w:val="Nadpis2"/>
        <w:spacing w:before="0" w:after="120"/>
        <w:ind w:left="578" w:hanging="578"/>
        <w:rPr>
          <w:color w:val="auto"/>
          <w:szCs w:val="24"/>
        </w:rPr>
      </w:pPr>
      <w:r w:rsidRPr="00B90A7C">
        <w:rPr>
          <w:color w:val="auto"/>
          <w:szCs w:val="24"/>
        </w:rPr>
        <w:t>Odpovědnost</w:t>
      </w:r>
    </w:p>
    <w:p w14:paraId="78FDAE6D" w14:textId="77777777" w:rsidR="00450AC2" w:rsidRPr="003F5E50" w:rsidRDefault="003F5E50" w:rsidP="003F5E50">
      <w:pPr>
        <w:pStyle w:val="Odstavecseseznamem"/>
        <w:numPr>
          <w:ilvl w:val="0"/>
          <w:numId w:val="21"/>
        </w:numPr>
        <w:spacing w:after="120" w:line="280" w:lineRule="atLeast"/>
        <w:ind w:left="284" w:hanging="284"/>
        <w:rPr>
          <w:rFonts w:cs="Arial"/>
          <w:sz w:val="20"/>
          <w:szCs w:val="20"/>
        </w:rPr>
      </w:pPr>
      <w:proofErr w:type="spellStart"/>
      <w:r w:rsidRPr="003F5E50">
        <w:rPr>
          <w:b/>
          <w:sz w:val="20"/>
          <w:szCs w:val="20"/>
        </w:rPr>
        <w:t>Loss</w:t>
      </w:r>
      <w:proofErr w:type="spellEnd"/>
      <w:r w:rsidRPr="003F5E50">
        <w:rPr>
          <w:b/>
          <w:sz w:val="20"/>
          <w:szCs w:val="20"/>
        </w:rPr>
        <w:t xml:space="preserve"> </w:t>
      </w:r>
      <w:proofErr w:type="spellStart"/>
      <w:r w:rsidRPr="003F5E50">
        <w:rPr>
          <w:b/>
          <w:sz w:val="20"/>
          <w:szCs w:val="20"/>
        </w:rPr>
        <w:t>occurrence</w:t>
      </w:r>
      <w:proofErr w:type="spellEnd"/>
    </w:p>
    <w:p w14:paraId="37198F53" w14:textId="77777777" w:rsidR="00450AC2" w:rsidRPr="00B90A7C" w:rsidRDefault="00450AC2" w:rsidP="003A73E4">
      <w:pPr>
        <w:pStyle w:val="Zkladntext"/>
        <w:spacing w:after="120" w:line="280" w:lineRule="atLeast"/>
        <w:jc w:val="both"/>
        <w:rPr>
          <w:rFonts w:ascii="Arial" w:hAnsi="Arial" w:cs="Arial"/>
          <w:b w:val="0"/>
          <w:bCs/>
          <w:i w:val="0"/>
          <w:sz w:val="20"/>
          <w:u w:val="none"/>
        </w:rPr>
      </w:pPr>
      <w:r w:rsidRPr="00B90A7C">
        <w:rPr>
          <w:rFonts w:ascii="Arial" w:hAnsi="Arial" w:cs="Arial"/>
          <w:b w:val="0"/>
          <w:bCs/>
          <w:i w:val="0"/>
          <w:sz w:val="20"/>
          <w:u w:val="none"/>
        </w:rPr>
        <w:t xml:space="preserve">Pojistnou událostí se rozumí vznik </w:t>
      </w:r>
      <w:r w:rsidR="00DF0C2C">
        <w:rPr>
          <w:rFonts w:ascii="Arial" w:hAnsi="Arial" w:cs="Arial"/>
          <w:b w:val="0"/>
          <w:bCs/>
          <w:i w:val="0"/>
          <w:sz w:val="20"/>
          <w:u w:val="none"/>
        </w:rPr>
        <w:t>újmy/</w:t>
      </w:r>
      <w:r w:rsidRPr="00B90A7C">
        <w:rPr>
          <w:rFonts w:ascii="Arial" w:hAnsi="Arial" w:cs="Arial"/>
          <w:b w:val="0"/>
          <w:bCs/>
          <w:i w:val="0"/>
          <w:sz w:val="20"/>
          <w:u w:val="none"/>
        </w:rPr>
        <w:t xml:space="preserve">škody, za kterou pojištěný/pojistník právně odpovídá, a která nastala v průběhu trvání pojištění v důsledku jednání pojištěného/pojistníka nebo jiné skutečnosti </w:t>
      </w:r>
      <w:r w:rsidR="000D1B4D">
        <w:rPr>
          <w:rFonts w:ascii="Arial" w:hAnsi="Arial" w:cs="Arial"/>
          <w:b w:val="0"/>
          <w:bCs/>
          <w:i w:val="0"/>
          <w:sz w:val="20"/>
          <w:u w:val="none"/>
        </w:rPr>
        <w:br/>
      </w:r>
      <w:r w:rsidRPr="00B90A7C">
        <w:rPr>
          <w:rFonts w:ascii="Arial" w:hAnsi="Arial" w:cs="Arial"/>
          <w:b w:val="0"/>
          <w:bCs/>
          <w:i w:val="0"/>
          <w:sz w:val="20"/>
          <w:u w:val="none"/>
        </w:rPr>
        <w:t xml:space="preserve">v přímé souvislosti s činností pojištěného/pojistníka, a to bez ohledu na to, kdy nastala příčina takové </w:t>
      </w:r>
      <w:r w:rsidR="00DF0C2C">
        <w:rPr>
          <w:rFonts w:ascii="Arial" w:hAnsi="Arial" w:cs="Arial"/>
          <w:b w:val="0"/>
          <w:bCs/>
          <w:i w:val="0"/>
          <w:sz w:val="20"/>
          <w:u w:val="none"/>
        </w:rPr>
        <w:t>újmy/</w:t>
      </w:r>
      <w:r w:rsidRPr="00B90A7C">
        <w:rPr>
          <w:rFonts w:ascii="Arial" w:hAnsi="Arial" w:cs="Arial"/>
          <w:b w:val="0"/>
          <w:bCs/>
          <w:i w:val="0"/>
          <w:sz w:val="20"/>
          <w:u w:val="none"/>
        </w:rPr>
        <w:t>škody nebo kdy byl vznesen nárok na její náhradu.</w:t>
      </w:r>
    </w:p>
    <w:p w14:paraId="6A9C2337" w14:textId="77777777" w:rsidR="00C621DD" w:rsidRPr="00C621DD" w:rsidRDefault="00C621DD" w:rsidP="00C621DD">
      <w:pPr>
        <w:pStyle w:val="Odstavecseseznamem"/>
        <w:numPr>
          <w:ilvl w:val="0"/>
          <w:numId w:val="21"/>
        </w:numPr>
        <w:spacing w:before="120" w:after="120" w:line="280" w:lineRule="atLeast"/>
        <w:ind w:left="284" w:hanging="284"/>
        <w:rPr>
          <w:rFonts w:cs="Arial"/>
          <w:b/>
          <w:bCs/>
          <w:sz w:val="20"/>
        </w:rPr>
      </w:pPr>
      <w:r w:rsidRPr="00C621DD">
        <w:rPr>
          <w:rFonts w:cs="Arial"/>
          <w:b/>
          <w:bCs/>
          <w:sz w:val="20"/>
        </w:rPr>
        <w:t>Prodloužení konce pojištění – pravomocnost rozhodnutí</w:t>
      </w:r>
    </w:p>
    <w:p w14:paraId="02FFDA70" w14:textId="7FDEA1B2" w:rsidR="008669F0" w:rsidRDefault="00450AC2" w:rsidP="00C621DD">
      <w:pPr>
        <w:spacing w:after="120" w:line="280" w:lineRule="atLeast"/>
        <w:rPr>
          <w:rFonts w:cs="Arial"/>
          <w:sz w:val="20"/>
          <w:szCs w:val="20"/>
        </w:rPr>
      </w:pPr>
      <w:r w:rsidRPr="00C621DD">
        <w:rPr>
          <w:rFonts w:cs="Arial"/>
          <w:sz w:val="20"/>
          <w:szCs w:val="20"/>
        </w:rPr>
        <w:t xml:space="preserve">Pokud o náhradě </w:t>
      </w:r>
      <w:r w:rsidR="00DF0C2C" w:rsidRPr="00C621DD">
        <w:rPr>
          <w:rFonts w:cs="Arial"/>
          <w:sz w:val="20"/>
          <w:szCs w:val="20"/>
        </w:rPr>
        <w:t>újmy/</w:t>
      </w:r>
      <w:r w:rsidRPr="00C621DD">
        <w:rPr>
          <w:rFonts w:cs="Arial"/>
          <w:sz w:val="20"/>
          <w:szCs w:val="20"/>
        </w:rPr>
        <w:t xml:space="preserve">škody rozhoduje příslušný orgán, platí, že pojistná událost nastala teprve dnem, kdy rozhodnutí tohoto orgánu nabylo právní moci. Do doby, kdy rozhodnutí o </w:t>
      </w:r>
      <w:r w:rsidR="00DF0C2C" w:rsidRPr="00C621DD">
        <w:rPr>
          <w:rFonts w:cs="Arial"/>
          <w:sz w:val="20"/>
          <w:szCs w:val="20"/>
        </w:rPr>
        <w:t>újmě/</w:t>
      </w:r>
      <w:r w:rsidRPr="00C621DD">
        <w:rPr>
          <w:rFonts w:cs="Arial"/>
          <w:sz w:val="20"/>
          <w:szCs w:val="20"/>
        </w:rPr>
        <w:t xml:space="preserve">škodě nabude právní moci, trvá ve vztahu k této </w:t>
      </w:r>
      <w:r w:rsidR="00DF0C2C" w:rsidRPr="00C621DD">
        <w:rPr>
          <w:rFonts w:cs="Arial"/>
          <w:sz w:val="20"/>
          <w:szCs w:val="20"/>
        </w:rPr>
        <w:t>újmě/</w:t>
      </w:r>
      <w:r w:rsidRPr="00C621DD">
        <w:rPr>
          <w:rFonts w:cs="Arial"/>
          <w:sz w:val="20"/>
          <w:szCs w:val="20"/>
        </w:rPr>
        <w:t>škodě pojistná ochrana dle této smlouvy bez ohledu na sjednaný konec pojištění.</w:t>
      </w:r>
    </w:p>
    <w:p w14:paraId="2C6BABEB" w14:textId="77777777" w:rsidR="00450AC2" w:rsidRPr="00C621DD" w:rsidRDefault="00450AC2" w:rsidP="008669F0">
      <w:pPr>
        <w:pStyle w:val="Odstavecseseznamem"/>
        <w:numPr>
          <w:ilvl w:val="0"/>
          <w:numId w:val="21"/>
        </w:numPr>
        <w:spacing w:after="120" w:line="280" w:lineRule="atLeast"/>
        <w:ind w:left="284" w:hanging="284"/>
        <w:rPr>
          <w:rFonts w:cs="Arial"/>
          <w:b/>
          <w:sz w:val="20"/>
          <w:szCs w:val="20"/>
        </w:rPr>
      </w:pPr>
      <w:r w:rsidRPr="00C621DD">
        <w:rPr>
          <w:rFonts w:cs="Arial"/>
          <w:b/>
          <w:sz w:val="20"/>
          <w:szCs w:val="20"/>
        </w:rPr>
        <w:t>Věci užívané – nemovitosti</w:t>
      </w:r>
    </w:p>
    <w:p w14:paraId="39AF16D0" w14:textId="77777777" w:rsidR="00B630C3" w:rsidRDefault="00450AC2" w:rsidP="003A73E4">
      <w:pPr>
        <w:spacing w:after="120" w:line="280" w:lineRule="atLeast"/>
        <w:rPr>
          <w:rFonts w:cs="Arial"/>
          <w:sz w:val="20"/>
          <w:szCs w:val="20"/>
        </w:rPr>
      </w:pPr>
      <w:r w:rsidRPr="00B90A7C">
        <w:rPr>
          <w:rFonts w:cs="Arial"/>
          <w:sz w:val="20"/>
          <w:szCs w:val="20"/>
        </w:rPr>
        <w:t xml:space="preserve">V případě sjednaného pojistného krytí pro </w:t>
      </w:r>
      <w:r w:rsidR="003F5E50">
        <w:rPr>
          <w:rFonts w:cs="Arial"/>
          <w:sz w:val="20"/>
          <w:szCs w:val="20"/>
        </w:rPr>
        <w:t>újmu/</w:t>
      </w:r>
      <w:r w:rsidRPr="00B90A7C">
        <w:rPr>
          <w:rFonts w:cs="Arial"/>
          <w:sz w:val="20"/>
          <w:szCs w:val="20"/>
        </w:rPr>
        <w:t>škod</w:t>
      </w:r>
      <w:r w:rsidR="003F5E50">
        <w:rPr>
          <w:rFonts w:cs="Arial"/>
          <w:sz w:val="20"/>
          <w:szCs w:val="20"/>
        </w:rPr>
        <w:t>u</w:t>
      </w:r>
      <w:r w:rsidRPr="00B90A7C">
        <w:rPr>
          <w:rFonts w:cs="Arial"/>
          <w:sz w:val="20"/>
          <w:szCs w:val="20"/>
        </w:rPr>
        <w:t xml:space="preserve"> na věcech převzatých nebo užívaných se toto připojištění vztahuje také na nemovitosti. </w:t>
      </w:r>
    </w:p>
    <w:p w14:paraId="0D0AFC23" w14:textId="77777777" w:rsidR="00450AC2" w:rsidRPr="00C621DD" w:rsidRDefault="00450AC2" w:rsidP="00C621DD">
      <w:pPr>
        <w:pStyle w:val="Odstavecseseznamem"/>
        <w:numPr>
          <w:ilvl w:val="0"/>
          <w:numId w:val="21"/>
        </w:numPr>
        <w:spacing w:before="120" w:after="120" w:line="280" w:lineRule="atLeast"/>
        <w:ind w:left="284" w:hanging="284"/>
        <w:rPr>
          <w:rFonts w:cs="Arial"/>
          <w:b/>
          <w:sz w:val="20"/>
          <w:szCs w:val="20"/>
        </w:rPr>
      </w:pPr>
      <w:r w:rsidRPr="00C621DD">
        <w:rPr>
          <w:rFonts w:cs="Arial"/>
          <w:b/>
          <w:sz w:val="20"/>
          <w:szCs w:val="20"/>
        </w:rPr>
        <w:t>Odpovědnost z držby nemovitosti</w:t>
      </w:r>
    </w:p>
    <w:p w14:paraId="797784A2" w14:textId="77777777" w:rsidR="00450AC2" w:rsidRPr="00B90A7C" w:rsidRDefault="00450AC2" w:rsidP="003A73E4">
      <w:pPr>
        <w:spacing w:after="120" w:line="280" w:lineRule="atLeast"/>
        <w:rPr>
          <w:rFonts w:cs="Arial"/>
          <w:sz w:val="20"/>
          <w:szCs w:val="20"/>
        </w:rPr>
      </w:pPr>
      <w:r w:rsidRPr="00B90A7C">
        <w:rPr>
          <w:rFonts w:cs="Arial"/>
          <w:sz w:val="20"/>
          <w:szCs w:val="20"/>
        </w:rPr>
        <w:t xml:space="preserve">Toto pojištění se vztahuje i na odpovědnost za </w:t>
      </w:r>
      <w:r w:rsidR="00DF0C2C">
        <w:rPr>
          <w:rFonts w:cs="Arial"/>
          <w:sz w:val="20"/>
          <w:szCs w:val="20"/>
        </w:rPr>
        <w:t>újmu/</w:t>
      </w:r>
      <w:r w:rsidRPr="00B90A7C">
        <w:rPr>
          <w:rFonts w:cs="Arial"/>
          <w:sz w:val="20"/>
          <w:szCs w:val="20"/>
        </w:rPr>
        <w:t xml:space="preserve">škodu způsobenou výkonem vlastnických práv </w:t>
      </w:r>
      <w:r w:rsidR="00DF0C2C">
        <w:rPr>
          <w:rFonts w:cs="Arial"/>
          <w:sz w:val="20"/>
          <w:szCs w:val="20"/>
        </w:rPr>
        <w:br/>
      </w:r>
      <w:r w:rsidRPr="00B90A7C">
        <w:rPr>
          <w:rFonts w:cs="Arial"/>
          <w:sz w:val="20"/>
          <w:szCs w:val="20"/>
        </w:rPr>
        <w:t xml:space="preserve">k nemovitostem, správou a provozem těchto nemovitostí. </w:t>
      </w:r>
    </w:p>
    <w:p w14:paraId="79282459" w14:textId="77777777" w:rsidR="00450AC2" w:rsidRPr="003F5E50" w:rsidRDefault="00450AC2" w:rsidP="003F5E50">
      <w:pPr>
        <w:pStyle w:val="Odstavecseseznamem"/>
        <w:numPr>
          <w:ilvl w:val="0"/>
          <w:numId w:val="21"/>
        </w:numPr>
        <w:spacing w:before="120" w:after="120" w:line="280" w:lineRule="atLeast"/>
        <w:ind w:left="284" w:hanging="284"/>
        <w:rPr>
          <w:rFonts w:cs="Arial"/>
          <w:b/>
          <w:sz w:val="20"/>
          <w:szCs w:val="20"/>
        </w:rPr>
      </w:pPr>
      <w:r w:rsidRPr="003F5E50">
        <w:rPr>
          <w:rFonts w:cs="Arial"/>
          <w:b/>
          <w:sz w:val="20"/>
          <w:szCs w:val="20"/>
        </w:rPr>
        <w:t>Regresy zdravotní pojišťovny</w:t>
      </w:r>
    </w:p>
    <w:p w14:paraId="00399815" w14:textId="158F8FA8" w:rsidR="00F41E3A" w:rsidRDefault="00450AC2" w:rsidP="003215C5">
      <w:pPr>
        <w:spacing w:after="120" w:line="280" w:lineRule="atLeast"/>
        <w:rPr>
          <w:rFonts w:cs="Arial"/>
          <w:sz w:val="20"/>
          <w:szCs w:val="20"/>
        </w:rPr>
      </w:pPr>
      <w:r w:rsidRPr="00B90A7C">
        <w:rPr>
          <w:rFonts w:cs="Arial"/>
          <w:sz w:val="20"/>
          <w:szCs w:val="20"/>
        </w:rPr>
        <w:t xml:space="preserve">Odpovědnost za škodu způsobenou zdravotní pojišťovně vynaložením nákladů na poskytnutou zdravotní péči hrazenou ze zdravotního pojištění při poškození zdraví nebo života v důsledku nedbalostního protiprávního jednání pojištěného. Pojištění se vztahuje na třetí osoby i zaměstnance pojištěného. </w:t>
      </w:r>
    </w:p>
    <w:p w14:paraId="7A1EEC11" w14:textId="195724A3" w:rsidR="005B61A6" w:rsidRPr="005B61A6" w:rsidRDefault="00450AC2" w:rsidP="005B61A6">
      <w:pPr>
        <w:pStyle w:val="Odstavecseseznamem"/>
        <w:numPr>
          <w:ilvl w:val="0"/>
          <w:numId w:val="21"/>
        </w:numPr>
        <w:spacing w:before="120" w:after="120" w:line="280" w:lineRule="atLeast"/>
        <w:ind w:left="284" w:hanging="284"/>
        <w:rPr>
          <w:rFonts w:cs="Arial"/>
          <w:b/>
          <w:sz w:val="20"/>
          <w:szCs w:val="20"/>
        </w:rPr>
      </w:pPr>
      <w:r w:rsidRPr="003F5E50">
        <w:rPr>
          <w:rFonts w:cs="Arial"/>
          <w:b/>
          <w:sz w:val="20"/>
          <w:szCs w:val="20"/>
        </w:rPr>
        <w:t xml:space="preserve">Regresní nároky </w:t>
      </w:r>
      <w:r w:rsidR="002C15F3">
        <w:rPr>
          <w:rFonts w:cs="Arial"/>
          <w:b/>
          <w:sz w:val="20"/>
          <w:szCs w:val="20"/>
        </w:rPr>
        <w:t>–</w:t>
      </w:r>
      <w:r w:rsidRPr="003F5E50">
        <w:rPr>
          <w:rFonts w:cs="Arial"/>
          <w:b/>
          <w:sz w:val="20"/>
          <w:szCs w:val="20"/>
        </w:rPr>
        <w:t xml:space="preserve"> nemocenské</w:t>
      </w:r>
      <w:r w:rsidR="002C15F3">
        <w:rPr>
          <w:rFonts w:cs="Arial"/>
          <w:b/>
          <w:sz w:val="20"/>
          <w:szCs w:val="20"/>
        </w:rPr>
        <w:t xml:space="preserve"> </w:t>
      </w:r>
      <w:r w:rsidRPr="003F5E50">
        <w:rPr>
          <w:rFonts w:cs="Arial"/>
          <w:b/>
          <w:sz w:val="20"/>
          <w:szCs w:val="20"/>
        </w:rPr>
        <w:t>pojištění</w:t>
      </w:r>
    </w:p>
    <w:p w14:paraId="0F53454F" w14:textId="77777777" w:rsidR="00450AC2" w:rsidRPr="00B90A7C" w:rsidRDefault="00450AC2" w:rsidP="003A73E4">
      <w:pPr>
        <w:spacing w:after="120" w:line="280" w:lineRule="atLeast"/>
        <w:rPr>
          <w:rFonts w:cs="Arial"/>
          <w:sz w:val="20"/>
          <w:szCs w:val="20"/>
        </w:rPr>
      </w:pPr>
      <w:r w:rsidRPr="00B90A7C">
        <w:rPr>
          <w:rFonts w:cs="Arial"/>
          <w:sz w:val="20"/>
          <w:szCs w:val="20"/>
        </w:rPr>
        <w:t xml:space="preserve">Pojištění se vztahuje též na případy nároku orgánu nemocenského pojištění vůči pojištěnému </w:t>
      </w:r>
      <w:r w:rsidR="000D1B4D">
        <w:rPr>
          <w:rFonts w:cs="Arial"/>
          <w:sz w:val="20"/>
          <w:szCs w:val="20"/>
        </w:rPr>
        <w:br/>
      </w:r>
      <w:r w:rsidRPr="00B90A7C">
        <w:rPr>
          <w:rFonts w:cs="Arial"/>
          <w:sz w:val="20"/>
          <w:szCs w:val="20"/>
        </w:rPr>
        <w:t xml:space="preserve">na regresní náhradu vyplacených dávek nemocenského pojištění (např. §126 zákona č. 187/2006 Sb., o nemocenském pojištění). </w:t>
      </w:r>
    </w:p>
    <w:p w14:paraId="0896A85E" w14:textId="77777777" w:rsidR="00450AC2" w:rsidRPr="004C306B" w:rsidRDefault="00450AC2" w:rsidP="004C306B">
      <w:pPr>
        <w:pStyle w:val="Nadpis2"/>
        <w:spacing w:before="240" w:after="120"/>
        <w:ind w:left="578" w:hanging="578"/>
        <w:rPr>
          <w:color w:val="auto"/>
          <w:szCs w:val="24"/>
        </w:rPr>
      </w:pPr>
      <w:r w:rsidRPr="004C306B">
        <w:rPr>
          <w:color w:val="auto"/>
          <w:szCs w:val="24"/>
        </w:rPr>
        <w:t>BONIFIKACE</w:t>
      </w:r>
    </w:p>
    <w:p w14:paraId="16C5C843" w14:textId="77777777" w:rsidR="00450AC2" w:rsidRPr="00B90A7C" w:rsidRDefault="00450AC2" w:rsidP="00E60708">
      <w:pPr>
        <w:spacing w:after="120" w:line="280" w:lineRule="atLeast"/>
        <w:rPr>
          <w:rFonts w:cs="Arial"/>
          <w:sz w:val="20"/>
          <w:szCs w:val="20"/>
        </w:rPr>
      </w:pPr>
      <w:r w:rsidRPr="00B90A7C">
        <w:rPr>
          <w:rFonts w:cs="Arial"/>
          <w:sz w:val="20"/>
          <w:szCs w:val="20"/>
        </w:rPr>
        <w:t xml:space="preserve">„Pojistitel poskytne pro pojištění </w:t>
      </w:r>
      <w:r w:rsidR="004474A5">
        <w:rPr>
          <w:rFonts w:cs="Arial"/>
          <w:sz w:val="20"/>
          <w:szCs w:val="20"/>
        </w:rPr>
        <w:t>odpovědnosti</w:t>
      </w:r>
      <w:r w:rsidRPr="00B90A7C">
        <w:rPr>
          <w:rFonts w:cs="Arial"/>
          <w:sz w:val="20"/>
          <w:szCs w:val="20"/>
        </w:rPr>
        <w:t xml:space="preserve"> následující výši bonusu za příznivý škodní průběh:</w:t>
      </w:r>
    </w:p>
    <w:p w14:paraId="2A041E12" w14:textId="77777777" w:rsidR="00042D34" w:rsidRDefault="000D1B4D" w:rsidP="000D1B4D">
      <w:pPr>
        <w:spacing w:after="120" w:line="280" w:lineRule="atLeast"/>
        <w:rPr>
          <w:rFonts w:cs="Arial"/>
          <w:sz w:val="20"/>
          <w:szCs w:val="20"/>
        </w:rPr>
      </w:pPr>
      <w:r w:rsidRPr="00B90A7C">
        <w:rPr>
          <w:rFonts w:cs="Arial"/>
          <w:sz w:val="20"/>
          <w:szCs w:val="20"/>
        </w:rPr>
        <w:t>Škodní průběh</w:t>
      </w:r>
      <w:r w:rsidR="00042D34">
        <w:rPr>
          <w:rFonts w:cs="Arial"/>
          <w:sz w:val="20"/>
          <w:szCs w:val="20"/>
        </w:rPr>
        <w:t>:</w:t>
      </w:r>
      <w:r w:rsidRPr="00B90A7C">
        <w:rPr>
          <w:rFonts w:cs="Arial"/>
          <w:sz w:val="20"/>
          <w:szCs w:val="20"/>
        </w:rPr>
        <w:t xml:space="preserve"> </w:t>
      </w:r>
    </w:p>
    <w:p w14:paraId="3CA068F7" w14:textId="2E11A089" w:rsidR="000D1B4D" w:rsidRDefault="000D1B4D" w:rsidP="00042D34">
      <w:pPr>
        <w:spacing w:line="280" w:lineRule="atLeast"/>
        <w:rPr>
          <w:rFonts w:cs="Arial"/>
          <w:sz w:val="20"/>
          <w:szCs w:val="20"/>
        </w:rPr>
      </w:pPr>
      <w:r w:rsidRPr="00B90A7C">
        <w:rPr>
          <w:rFonts w:cs="Arial"/>
          <w:sz w:val="20"/>
          <w:szCs w:val="20"/>
        </w:rPr>
        <w:t xml:space="preserve">do </w:t>
      </w:r>
      <w:proofErr w:type="gramStart"/>
      <w:r w:rsidR="00042D34">
        <w:rPr>
          <w:rFonts w:cs="Arial"/>
          <w:sz w:val="20"/>
          <w:szCs w:val="20"/>
        </w:rPr>
        <w:t>1</w:t>
      </w:r>
      <w:r>
        <w:rPr>
          <w:rFonts w:cs="Arial"/>
          <w:sz w:val="20"/>
          <w:szCs w:val="20"/>
        </w:rPr>
        <w:t>0</w:t>
      </w:r>
      <w:r w:rsidRPr="00B90A7C">
        <w:rPr>
          <w:rFonts w:cs="Arial"/>
          <w:sz w:val="20"/>
          <w:szCs w:val="20"/>
        </w:rPr>
        <w:t>%</w:t>
      </w:r>
      <w:proofErr w:type="gramEnd"/>
      <w:r w:rsidRPr="00B90A7C">
        <w:rPr>
          <w:rFonts w:cs="Arial"/>
          <w:sz w:val="20"/>
          <w:szCs w:val="20"/>
        </w:rPr>
        <w:t xml:space="preserve"> </w:t>
      </w:r>
      <w:r w:rsidRPr="00B90A7C">
        <w:rPr>
          <w:rFonts w:cs="Arial"/>
          <w:sz w:val="20"/>
          <w:szCs w:val="20"/>
        </w:rPr>
        <w:tab/>
      </w:r>
      <w:r w:rsidRPr="00B90A7C">
        <w:rPr>
          <w:rFonts w:cs="Arial"/>
          <w:sz w:val="20"/>
          <w:szCs w:val="20"/>
        </w:rPr>
        <w:tab/>
        <w:t xml:space="preserve">výše bonifikace </w:t>
      </w:r>
      <w:r w:rsidR="00042D34">
        <w:rPr>
          <w:rFonts w:cs="Arial"/>
          <w:sz w:val="20"/>
          <w:szCs w:val="20"/>
        </w:rPr>
        <w:t>15</w:t>
      </w:r>
      <w:r w:rsidRPr="00B90A7C">
        <w:rPr>
          <w:rFonts w:cs="Arial"/>
          <w:sz w:val="20"/>
          <w:szCs w:val="20"/>
        </w:rPr>
        <w:t>%</w:t>
      </w:r>
    </w:p>
    <w:p w14:paraId="29DB30AB" w14:textId="426F66FE" w:rsidR="00042D34" w:rsidRPr="00B90A7C" w:rsidRDefault="00042D34" w:rsidP="000D1B4D">
      <w:pPr>
        <w:spacing w:after="120" w:line="280" w:lineRule="atLeast"/>
        <w:rPr>
          <w:rFonts w:cs="Arial"/>
          <w:sz w:val="20"/>
          <w:szCs w:val="20"/>
        </w:rPr>
      </w:pPr>
      <w:r w:rsidRPr="00B90A7C">
        <w:rPr>
          <w:rFonts w:cs="Arial"/>
          <w:sz w:val="20"/>
          <w:szCs w:val="20"/>
        </w:rPr>
        <w:t xml:space="preserve">do </w:t>
      </w:r>
      <w:proofErr w:type="gramStart"/>
      <w:r>
        <w:rPr>
          <w:rFonts w:cs="Arial"/>
          <w:sz w:val="20"/>
          <w:szCs w:val="20"/>
        </w:rPr>
        <w:t>30</w:t>
      </w:r>
      <w:r w:rsidRPr="00B90A7C">
        <w:rPr>
          <w:rFonts w:cs="Arial"/>
          <w:sz w:val="20"/>
          <w:szCs w:val="20"/>
        </w:rPr>
        <w:t>%</w:t>
      </w:r>
      <w:proofErr w:type="gramEnd"/>
      <w:r w:rsidRPr="00B90A7C">
        <w:rPr>
          <w:rFonts w:cs="Arial"/>
          <w:sz w:val="20"/>
          <w:szCs w:val="20"/>
        </w:rPr>
        <w:t xml:space="preserve"> </w:t>
      </w:r>
      <w:r w:rsidRPr="00B90A7C">
        <w:rPr>
          <w:rFonts w:cs="Arial"/>
          <w:sz w:val="20"/>
          <w:szCs w:val="20"/>
        </w:rPr>
        <w:tab/>
      </w:r>
      <w:r w:rsidRPr="00B90A7C">
        <w:rPr>
          <w:rFonts w:cs="Arial"/>
          <w:sz w:val="20"/>
          <w:szCs w:val="20"/>
        </w:rPr>
        <w:tab/>
        <w:t xml:space="preserve">výše bonifikace </w:t>
      </w:r>
      <w:r>
        <w:rPr>
          <w:rFonts w:cs="Arial"/>
          <w:sz w:val="20"/>
          <w:szCs w:val="20"/>
        </w:rPr>
        <w:t>8</w:t>
      </w:r>
      <w:r w:rsidRPr="00B90A7C">
        <w:rPr>
          <w:rFonts w:cs="Arial"/>
          <w:sz w:val="20"/>
          <w:szCs w:val="20"/>
        </w:rPr>
        <w:t>%</w:t>
      </w:r>
    </w:p>
    <w:p w14:paraId="70E78F2A" w14:textId="77777777" w:rsidR="003F5E50" w:rsidRDefault="00450AC2" w:rsidP="003F5E50">
      <w:pPr>
        <w:spacing w:before="120" w:after="120" w:line="280" w:lineRule="atLeast"/>
        <w:rPr>
          <w:rFonts w:cs="Arial"/>
          <w:sz w:val="20"/>
          <w:szCs w:val="20"/>
        </w:rPr>
      </w:pPr>
      <w:r w:rsidRPr="00B90A7C">
        <w:rPr>
          <w:rFonts w:cs="Arial"/>
          <w:sz w:val="20"/>
          <w:szCs w:val="20"/>
        </w:rPr>
        <w:t xml:space="preserve">Škodním průběhem se rozumí poměr mezi vyplaceným pojistným plněním (vč. rezervy na škody vzniklé, nahlášené, ale v době poskytnutí bonifikace nevyplacené) a přijatým pojistným, přičemž vyplacené pojistné plnění i přijaté pojistné jsou vztahovány k pojistnému období v délce jednoho roku. </w:t>
      </w:r>
    </w:p>
    <w:p w14:paraId="7E6C2A60" w14:textId="7C89DFAF" w:rsidR="00450AC2" w:rsidRDefault="00450AC2" w:rsidP="003F5E50">
      <w:pPr>
        <w:spacing w:before="120" w:after="120" w:line="280" w:lineRule="atLeast"/>
        <w:rPr>
          <w:rFonts w:cs="Arial"/>
          <w:sz w:val="20"/>
          <w:szCs w:val="20"/>
        </w:rPr>
      </w:pPr>
      <w:r w:rsidRPr="00B90A7C">
        <w:rPr>
          <w:rFonts w:cs="Arial"/>
          <w:sz w:val="20"/>
          <w:szCs w:val="20"/>
        </w:rPr>
        <w:t xml:space="preserve">Pro výpočet škodního průběhu se do vyplaceného pojistného plnění započítávají </w:t>
      </w:r>
      <w:r w:rsidR="00042D34">
        <w:rPr>
          <w:rFonts w:cs="Arial"/>
          <w:sz w:val="20"/>
          <w:szCs w:val="20"/>
        </w:rPr>
        <w:t xml:space="preserve">i </w:t>
      </w:r>
      <w:r w:rsidRPr="00B90A7C">
        <w:rPr>
          <w:rFonts w:cs="Arial"/>
          <w:sz w:val="20"/>
          <w:szCs w:val="20"/>
        </w:rPr>
        <w:t>přijaté regresy.</w:t>
      </w:r>
    </w:p>
    <w:bookmarkEnd w:id="1"/>
    <w:bookmarkEnd w:id="2"/>
    <w:bookmarkEnd w:id="3"/>
    <w:bookmarkEnd w:id="4"/>
    <w:bookmarkEnd w:id="5"/>
    <w:bookmarkEnd w:id="6"/>
    <w:bookmarkEnd w:id="7"/>
    <w:bookmarkEnd w:id="8"/>
    <w:bookmarkEnd w:id="9"/>
    <w:bookmarkEnd w:id="10"/>
    <w:bookmarkEnd w:id="11"/>
    <w:p w14:paraId="0CBA0C82" w14:textId="77777777" w:rsidR="008669F0" w:rsidRDefault="008669F0" w:rsidP="008669F0">
      <w:pPr>
        <w:spacing w:before="120" w:line="280" w:lineRule="atLeast"/>
        <w:rPr>
          <w:rFonts w:cs="Arial"/>
          <w:sz w:val="20"/>
          <w:szCs w:val="20"/>
        </w:rPr>
      </w:pPr>
    </w:p>
    <w:sectPr w:rsidR="008669F0" w:rsidSect="00F41E3A">
      <w:type w:val="continuous"/>
      <w:pgSz w:w="11906" w:h="16838" w:code="9"/>
      <w:pgMar w:top="57" w:right="1418" w:bottom="1134" w:left="1418" w:header="119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1B54" w14:textId="77777777" w:rsidR="00196615" w:rsidRDefault="00196615" w:rsidP="00226667">
      <w:r>
        <w:separator/>
      </w:r>
    </w:p>
  </w:endnote>
  <w:endnote w:type="continuationSeparator" w:id="0">
    <w:p w14:paraId="6B91EBF6" w14:textId="77777777" w:rsidR="00196615" w:rsidRDefault="00196615" w:rsidP="0022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imbusSanNovTEE">
    <w:altName w:val="Arial"/>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14574359"/>
      <w:docPartObj>
        <w:docPartGallery w:val="Page Numbers (Top of Page)"/>
        <w:docPartUnique/>
      </w:docPartObj>
    </w:sdtPr>
    <w:sdtContent>
      <w:p w14:paraId="40C1C028" w14:textId="79D753C1" w:rsidR="00502C50" w:rsidRDefault="00E13F92" w:rsidP="00F0758F">
        <w:pPr>
          <w:pBdr>
            <w:top w:val="single" w:sz="4" w:space="1" w:color="auto"/>
          </w:pBdr>
          <w:spacing w:before="120" w:line="280" w:lineRule="atLeast"/>
          <w:jc w:val="left"/>
          <w:rPr>
            <w:sz w:val="18"/>
            <w:szCs w:val="18"/>
          </w:rPr>
        </w:pPr>
        <w:r>
          <w:rPr>
            <w:sz w:val="18"/>
            <w:szCs w:val="18"/>
          </w:rPr>
          <w:t>Univerzita Palackého v Olomouci</w:t>
        </w:r>
        <w:r>
          <w:rPr>
            <w:sz w:val="18"/>
            <w:szCs w:val="18"/>
          </w:rPr>
          <w:tab/>
        </w:r>
        <w:r>
          <w:rPr>
            <w:sz w:val="18"/>
            <w:szCs w:val="18"/>
          </w:rPr>
          <w:tab/>
        </w:r>
        <w:r w:rsidR="00502C50">
          <w:rPr>
            <w:sz w:val="18"/>
            <w:szCs w:val="18"/>
          </w:rPr>
          <w:tab/>
        </w:r>
        <w:r w:rsidR="00502C50">
          <w:rPr>
            <w:sz w:val="18"/>
            <w:szCs w:val="18"/>
          </w:rPr>
          <w:tab/>
        </w:r>
        <w:r w:rsidR="00502C50">
          <w:rPr>
            <w:sz w:val="18"/>
            <w:szCs w:val="18"/>
          </w:rPr>
          <w:tab/>
        </w:r>
        <w:r w:rsidR="00502C50">
          <w:rPr>
            <w:sz w:val="18"/>
            <w:szCs w:val="18"/>
          </w:rPr>
          <w:tab/>
        </w:r>
        <w:r w:rsidR="00502C50">
          <w:rPr>
            <w:sz w:val="18"/>
            <w:szCs w:val="18"/>
          </w:rPr>
          <w:tab/>
        </w:r>
        <w:r w:rsidR="00502C50">
          <w:rPr>
            <w:sz w:val="18"/>
            <w:szCs w:val="18"/>
          </w:rPr>
          <w:tab/>
        </w:r>
        <w:r w:rsidR="00502C50" w:rsidRPr="00731931">
          <w:rPr>
            <w:sz w:val="18"/>
            <w:szCs w:val="18"/>
          </w:rPr>
          <w:t xml:space="preserve">Stránka </w:t>
        </w:r>
        <w:r w:rsidR="00502C50" w:rsidRPr="00731931">
          <w:rPr>
            <w:sz w:val="18"/>
            <w:szCs w:val="18"/>
          </w:rPr>
          <w:fldChar w:fldCharType="begin"/>
        </w:r>
        <w:r w:rsidR="00502C50" w:rsidRPr="00731931">
          <w:rPr>
            <w:sz w:val="18"/>
            <w:szCs w:val="18"/>
          </w:rPr>
          <w:instrText xml:space="preserve"> PAGE </w:instrText>
        </w:r>
        <w:r w:rsidR="00502C50" w:rsidRPr="00731931">
          <w:rPr>
            <w:sz w:val="18"/>
            <w:szCs w:val="18"/>
          </w:rPr>
          <w:fldChar w:fldCharType="separate"/>
        </w:r>
        <w:r w:rsidR="000F513F">
          <w:rPr>
            <w:noProof/>
            <w:sz w:val="18"/>
            <w:szCs w:val="18"/>
          </w:rPr>
          <w:t>1</w:t>
        </w:r>
        <w:r w:rsidR="00502C50" w:rsidRPr="00731931">
          <w:rPr>
            <w:sz w:val="18"/>
            <w:szCs w:val="18"/>
          </w:rPr>
          <w:fldChar w:fldCharType="end"/>
        </w:r>
        <w:r w:rsidR="00502C50" w:rsidRPr="00731931">
          <w:rPr>
            <w:sz w:val="18"/>
            <w:szCs w:val="18"/>
          </w:rPr>
          <w:t xml:space="preserve"> z </w:t>
        </w:r>
        <w:r w:rsidR="00502C50" w:rsidRPr="00731931">
          <w:rPr>
            <w:sz w:val="18"/>
            <w:szCs w:val="18"/>
          </w:rPr>
          <w:fldChar w:fldCharType="begin"/>
        </w:r>
        <w:r w:rsidR="00502C50" w:rsidRPr="00731931">
          <w:rPr>
            <w:sz w:val="18"/>
            <w:szCs w:val="18"/>
          </w:rPr>
          <w:instrText xml:space="preserve"> NUMPAGES  </w:instrText>
        </w:r>
        <w:r w:rsidR="00502C50" w:rsidRPr="00731931">
          <w:rPr>
            <w:sz w:val="18"/>
            <w:szCs w:val="18"/>
          </w:rPr>
          <w:fldChar w:fldCharType="separate"/>
        </w:r>
        <w:r w:rsidR="000F513F">
          <w:rPr>
            <w:noProof/>
            <w:sz w:val="18"/>
            <w:szCs w:val="18"/>
          </w:rPr>
          <w:t>13</w:t>
        </w:r>
        <w:r w:rsidR="00502C50" w:rsidRPr="00731931">
          <w:rPr>
            <w:sz w:val="18"/>
            <w:szCs w:val="18"/>
          </w:rPr>
          <w:fldChar w:fldCharType="end"/>
        </w:r>
      </w:p>
    </w:sdtContent>
  </w:sdt>
  <w:p w14:paraId="63F5875C" w14:textId="15655883" w:rsidR="00502C50" w:rsidRPr="005D4CD4" w:rsidRDefault="00E13F92" w:rsidP="00F0758F">
    <w:pPr>
      <w:spacing w:line="280" w:lineRule="atLeast"/>
      <w:jc w:val="left"/>
      <w:rPr>
        <w:sz w:val="18"/>
        <w:szCs w:val="18"/>
      </w:rPr>
    </w:pPr>
    <w:r w:rsidRPr="00E13F92">
      <w:rPr>
        <w:rFonts w:cs="Arial"/>
        <w:sz w:val="18"/>
        <w:szCs w:val="18"/>
      </w:rPr>
      <w:t>Křížkovského 511/8, 779 00 Olomouc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FE596" w14:textId="77777777" w:rsidR="00196615" w:rsidRDefault="00196615" w:rsidP="00226667">
      <w:r>
        <w:separator/>
      </w:r>
    </w:p>
  </w:footnote>
  <w:footnote w:type="continuationSeparator" w:id="0">
    <w:p w14:paraId="1BEB3473" w14:textId="77777777" w:rsidR="00196615" w:rsidRDefault="00196615" w:rsidP="00226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DB39" w14:textId="36CA7519" w:rsidR="00502C50" w:rsidRDefault="00E13F92" w:rsidP="00C75758">
    <w:pPr>
      <w:pStyle w:val="Zhlav"/>
      <w:jc w:val="right"/>
      <w:rPr>
        <w:sz w:val="18"/>
        <w:szCs w:val="18"/>
      </w:rPr>
    </w:pPr>
    <w:r>
      <w:rPr>
        <w:noProof/>
      </w:rPr>
      <w:drawing>
        <wp:anchor distT="0" distB="0" distL="114300" distR="114300" simplePos="0" relativeHeight="251658240" behindDoc="0" locked="0" layoutInCell="1" allowOverlap="1" wp14:anchorId="00D95857" wp14:editId="59270595">
          <wp:simplePos x="0" y="0"/>
          <wp:positionH relativeFrom="column">
            <wp:posOffset>242570</wp:posOffset>
          </wp:positionH>
          <wp:positionV relativeFrom="paragraph">
            <wp:posOffset>-680085</wp:posOffset>
          </wp:positionV>
          <wp:extent cx="954000" cy="900000"/>
          <wp:effectExtent l="0" t="0" r="0" b="0"/>
          <wp:wrapNone/>
          <wp:docPr id="2" name="Obrázek 1" descr="Chcete si stáhnout to pravé logo UP? Publikace nebo třeba ...">
            <a:extLst xmlns:a="http://schemas.openxmlformats.org/drawingml/2006/main">
              <a:ext uri="{FF2B5EF4-FFF2-40B4-BE49-F238E27FC236}">
                <a16:creationId xmlns:a16="http://schemas.microsoft.com/office/drawing/2014/main" id="{9CD39AC0-3074-43CF-A3A4-614FC574A5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hcete si stáhnout to pravé logo UP? Publikace nebo třeba ...">
                    <a:extLst>
                      <a:ext uri="{FF2B5EF4-FFF2-40B4-BE49-F238E27FC236}">
                        <a16:creationId xmlns:a16="http://schemas.microsoft.com/office/drawing/2014/main" id="{9CD39AC0-3074-43CF-A3A4-614FC574A5E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0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2C50">
      <w:rPr>
        <w:sz w:val="18"/>
        <w:szCs w:val="18"/>
      </w:rPr>
      <w:t>Příloha č.</w:t>
    </w:r>
    <w:r w:rsidR="000F513F">
      <w:rPr>
        <w:sz w:val="18"/>
        <w:szCs w:val="18"/>
      </w:rPr>
      <w:t xml:space="preserve"> </w:t>
    </w:r>
    <w:r>
      <w:rPr>
        <w:sz w:val="18"/>
        <w:szCs w:val="18"/>
      </w:rPr>
      <w:t>7</w:t>
    </w:r>
  </w:p>
  <w:p w14:paraId="06EB13B5" w14:textId="77777777" w:rsidR="00C75758" w:rsidRDefault="00C75758" w:rsidP="00C75758">
    <w:pPr>
      <w:pStyle w:val="Zhlav"/>
      <w:jc w:val="right"/>
      <w:rPr>
        <w:sz w:val="20"/>
        <w:szCs w:val="20"/>
      </w:rPr>
    </w:pPr>
  </w:p>
  <w:p w14:paraId="06B3D3C8" w14:textId="20EF065D" w:rsidR="00502C50" w:rsidRDefault="00C75758" w:rsidP="00C75758">
    <w:pPr>
      <w:pStyle w:val="Zhlav"/>
      <w:pBdr>
        <w:bottom w:val="single" w:sz="4" w:space="0" w:color="auto"/>
      </w:pBdr>
      <w:tabs>
        <w:tab w:val="clear" w:pos="9072"/>
        <w:tab w:val="left" w:pos="259"/>
        <w:tab w:val="right" w:pos="9070"/>
      </w:tabs>
      <w:jc w:val="left"/>
      <w:rPr>
        <w:sz w:val="20"/>
        <w:szCs w:val="20"/>
      </w:rPr>
    </w:pPr>
    <w:r>
      <w:rPr>
        <w:sz w:val="20"/>
        <w:szCs w:val="20"/>
      </w:rPr>
      <w:tab/>
    </w:r>
    <w:r>
      <w:rPr>
        <w:sz w:val="20"/>
        <w:szCs w:val="20"/>
      </w:rPr>
      <w:tab/>
    </w:r>
    <w:r w:rsidR="00502C50">
      <w:rPr>
        <w:sz w:val="20"/>
        <w:szCs w:val="20"/>
      </w:rPr>
      <w:t xml:space="preserve">„Pojištění majetku a odpovědnosti za újmu </w:t>
    </w:r>
    <w:r w:rsidR="00E13F92">
      <w:rPr>
        <w:sz w:val="20"/>
        <w:szCs w:val="20"/>
      </w:rPr>
      <w:t>Univerzity Palackého v Olomouci</w:t>
    </w:r>
    <w:r w:rsidR="00502C50" w:rsidRPr="00CE1543">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8ECE7A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695EAA34"/>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086C8B44"/>
    <w:lvl w:ilvl="0">
      <w:start w:val="1"/>
      <w:numFmt w:val="bullet"/>
      <w:pStyle w:val="Seznamsodrkami"/>
      <w:lvlText w:val=""/>
      <w:lvlJc w:val="left"/>
      <w:pPr>
        <w:tabs>
          <w:tab w:val="num" w:pos="360"/>
        </w:tabs>
        <w:ind w:left="360" w:hanging="360"/>
      </w:pPr>
      <w:rPr>
        <w:rFonts w:ascii="Wingdings" w:hAnsi="Wingdings" w:hint="default"/>
        <w:sz w:val="24"/>
      </w:rPr>
    </w:lvl>
  </w:abstractNum>
  <w:abstractNum w:abstractNumId="3" w15:restartNumberingAfterBreak="0">
    <w:nsid w:val="020F3365"/>
    <w:multiLevelType w:val="hybridMultilevel"/>
    <w:tmpl w:val="D02E1456"/>
    <w:lvl w:ilvl="0" w:tplc="4BAC74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060CBB"/>
    <w:multiLevelType w:val="hybridMultilevel"/>
    <w:tmpl w:val="1C5EBA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193725"/>
    <w:multiLevelType w:val="hybridMultilevel"/>
    <w:tmpl w:val="169EF240"/>
    <w:lvl w:ilvl="0" w:tplc="E2F42E36">
      <w:start w:val="1"/>
      <w:numFmt w:val="lowerLetter"/>
      <w:lvlText w:val="%1)"/>
      <w:lvlJc w:val="left"/>
      <w:pPr>
        <w:ind w:left="587" w:hanging="360"/>
      </w:pPr>
      <w:rPr>
        <w:rFonts w:hint="default"/>
      </w:rPr>
    </w:lvl>
    <w:lvl w:ilvl="1" w:tplc="04050019" w:tentative="1">
      <w:start w:val="1"/>
      <w:numFmt w:val="lowerLetter"/>
      <w:lvlText w:val="%2."/>
      <w:lvlJc w:val="left"/>
      <w:pPr>
        <w:ind w:left="1307" w:hanging="360"/>
      </w:pPr>
    </w:lvl>
    <w:lvl w:ilvl="2" w:tplc="0405001B" w:tentative="1">
      <w:start w:val="1"/>
      <w:numFmt w:val="lowerRoman"/>
      <w:lvlText w:val="%3."/>
      <w:lvlJc w:val="right"/>
      <w:pPr>
        <w:ind w:left="2027" w:hanging="180"/>
      </w:pPr>
    </w:lvl>
    <w:lvl w:ilvl="3" w:tplc="0405000F" w:tentative="1">
      <w:start w:val="1"/>
      <w:numFmt w:val="decimal"/>
      <w:lvlText w:val="%4."/>
      <w:lvlJc w:val="left"/>
      <w:pPr>
        <w:ind w:left="2747" w:hanging="360"/>
      </w:pPr>
    </w:lvl>
    <w:lvl w:ilvl="4" w:tplc="04050019" w:tentative="1">
      <w:start w:val="1"/>
      <w:numFmt w:val="lowerLetter"/>
      <w:lvlText w:val="%5."/>
      <w:lvlJc w:val="left"/>
      <w:pPr>
        <w:ind w:left="3467" w:hanging="360"/>
      </w:pPr>
    </w:lvl>
    <w:lvl w:ilvl="5" w:tplc="0405001B" w:tentative="1">
      <w:start w:val="1"/>
      <w:numFmt w:val="lowerRoman"/>
      <w:lvlText w:val="%6."/>
      <w:lvlJc w:val="right"/>
      <w:pPr>
        <w:ind w:left="4187" w:hanging="180"/>
      </w:pPr>
    </w:lvl>
    <w:lvl w:ilvl="6" w:tplc="0405000F" w:tentative="1">
      <w:start w:val="1"/>
      <w:numFmt w:val="decimal"/>
      <w:lvlText w:val="%7."/>
      <w:lvlJc w:val="left"/>
      <w:pPr>
        <w:ind w:left="4907" w:hanging="360"/>
      </w:pPr>
    </w:lvl>
    <w:lvl w:ilvl="7" w:tplc="04050019" w:tentative="1">
      <w:start w:val="1"/>
      <w:numFmt w:val="lowerLetter"/>
      <w:lvlText w:val="%8."/>
      <w:lvlJc w:val="left"/>
      <w:pPr>
        <w:ind w:left="5627" w:hanging="360"/>
      </w:pPr>
    </w:lvl>
    <w:lvl w:ilvl="8" w:tplc="0405001B" w:tentative="1">
      <w:start w:val="1"/>
      <w:numFmt w:val="lowerRoman"/>
      <w:lvlText w:val="%9."/>
      <w:lvlJc w:val="right"/>
      <w:pPr>
        <w:ind w:left="6347" w:hanging="180"/>
      </w:pPr>
    </w:lvl>
  </w:abstractNum>
  <w:abstractNum w:abstractNumId="6" w15:restartNumberingAfterBreak="0">
    <w:nsid w:val="0E161FF9"/>
    <w:multiLevelType w:val="hybridMultilevel"/>
    <w:tmpl w:val="6E180DE6"/>
    <w:lvl w:ilvl="0" w:tplc="213092E8">
      <w:start w:val="1"/>
      <w:numFmt w:val="decimal"/>
      <w:lvlText w:val="1.%1."/>
      <w:lvlJc w:val="left"/>
      <w:pPr>
        <w:ind w:left="786" w:hanging="360"/>
      </w:pPr>
      <w:rPr>
        <w:rFonts w:ascii="Arial" w:hAnsi="Arial" w:hint="default"/>
        <w:b/>
        <w:i w:val="0"/>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1861C7"/>
    <w:multiLevelType w:val="hybridMultilevel"/>
    <w:tmpl w:val="52446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0274DD"/>
    <w:multiLevelType w:val="multilevel"/>
    <w:tmpl w:val="271CCF9A"/>
    <w:lvl w:ilvl="0">
      <w:start w:val="1"/>
      <w:numFmt w:val="decimal"/>
      <w:lvlText w:val="%1)"/>
      <w:lvlJc w:val="left"/>
      <w:pPr>
        <w:tabs>
          <w:tab w:val="num" w:pos="643"/>
        </w:tabs>
        <w:ind w:left="643" w:hanging="360"/>
      </w:pPr>
      <w:rPr>
        <w:rFonts w:hint="default"/>
      </w:rPr>
    </w:lvl>
    <w:lvl w:ilvl="1">
      <w:start w:val="1"/>
      <w:numFmt w:val="lowerLetter"/>
      <w:pStyle w:val="slovanseznam2"/>
      <w:lvlText w:val="%2)"/>
      <w:lvlJc w:val="left"/>
      <w:pPr>
        <w:tabs>
          <w:tab w:val="num" w:pos="1003"/>
        </w:tabs>
        <w:ind w:left="1003" w:hanging="360"/>
      </w:pPr>
      <w:rPr>
        <w:rFonts w:hint="default"/>
      </w:rPr>
    </w:lvl>
    <w:lvl w:ilvl="2">
      <w:start w:val="1"/>
      <w:numFmt w:val="lowerRoman"/>
      <w:lvlText w:val="%3)"/>
      <w:lvlJc w:val="left"/>
      <w:pPr>
        <w:tabs>
          <w:tab w:val="num" w:pos="1363"/>
        </w:tabs>
        <w:ind w:left="1363" w:hanging="360"/>
      </w:pPr>
      <w:rPr>
        <w:rFonts w:hint="default"/>
      </w:rPr>
    </w:lvl>
    <w:lvl w:ilvl="3">
      <w:start w:val="1"/>
      <w:numFmt w:val="decimal"/>
      <w:lvlText w:val="(%4)"/>
      <w:lvlJc w:val="left"/>
      <w:pPr>
        <w:tabs>
          <w:tab w:val="num" w:pos="1723"/>
        </w:tabs>
        <w:ind w:left="1723" w:hanging="360"/>
      </w:pPr>
      <w:rPr>
        <w:rFonts w:hint="default"/>
      </w:rPr>
    </w:lvl>
    <w:lvl w:ilvl="4">
      <w:start w:val="1"/>
      <w:numFmt w:val="lowerLetter"/>
      <w:lvlText w:val="(%5)"/>
      <w:lvlJc w:val="left"/>
      <w:pPr>
        <w:tabs>
          <w:tab w:val="num" w:pos="2083"/>
        </w:tabs>
        <w:ind w:left="2083" w:hanging="360"/>
      </w:pPr>
      <w:rPr>
        <w:rFonts w:hint="default"/>
      </w:rPr>
    </w:lvl>
    <w:lvl w:ilvl="5">
      <w:numFmt w:val="none"/>
      <w:lvlText w:val=""/>
      <w:lvlJc w:val="left"/>
      <w:pPr>
        <w:tabs>
          <w:tab w:val="num" w:pos="360"/>
        </w:tabs>
      </w:pPr>
    </w:lvl>
    <w:lvl w:ilvl="6">
      <w:start w:val="1"/>
      <w:numFmt w:val="decimal"/>
      <w:lvlText w:val="%7."/>
      <w:lvlJc w:val="left"/>
      <w:pPr>
        <w:tabs>
          <w:tab w:val="num" w:pos="2803"/>
        </w:tabs>
        <w:ind w:left="2803" w:hanging="360"/>
      </w:pPr>
      <w:rPr>
        <w:rFonts w:hint="default"/>
      </w:rPr>
    </w:lvl>
    <w:lvl w:ilvl="7">
      <w:start w:val="1"/>
      <w:numFmt w:val="lowerLetter"/>
      <w:lvlText w:val="%8."/>
      <w:lvlJc w:val="left"/>
      <w:pPr>
        <w:tabs>
          <w:tab w:val="num" w:pos="3163"/>
        </w:tabs>
        <w:ind w:left="3163" w:hanging="360"/>
      </w:pPr>
      <w:rPr>
        <w:rFonts w:hint="default"/>
      </w:rPr>
    </w:lvl>
    <w:lvl w:ilvl="8">
      <w:start w:val="1"/>
      <w:numFmt w:val="lowerRoman"/>
      <w:lvlText w:val="%9."/>
      <w:lvlJc w:val="left"/>
      <w:pPr>
        <w:tabs>
          <w:tab w:val="num" w:pos="3523"/>
        </w:tabs>
        <w:ind w:left="3523" w:hanging="360"/>
      </w:pPr>
      <w:rPr>
        <w:rFonts w:hint="default"/>
      </w:rPr>
    </w:lvl>
  </w:abstractNum>
  <w:abstractNum w:abstractNumId="9" w15:restartNumberingAfterBreak="0">
    <w:nsid w:val="25D52774"/>
    <w:multiLevelType w:val="hybridMultilevel"/>
    <w:tmpl w:val="E8045E30"/>
    <w:lvl w:ilvl="0" w:tplc="04208416">
      <w:numFmt w:val="bullet"/>
      <w:lvlText w:val="-"/>
      <w:lvlJc w:val="left"/>
      <w:pPr>
        <w:ind w:left="587" w:hanging="360"/>
      </w:pPr>
      <w:rPr>
        <w:rFonts w:ascii="Arial" w:eastAsia="Times New Roman" w:hAnsi="Arial" w:cs="Arial" w:hint="default"/>
      </w:rPr>
    </w:lvl>
    <w:lvl w:ilvl="1" w:tplc="04050003" w:tentative="1">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0" w15:restartNumberingAfterBreak="0">
    <w:nsid w:val="29560428"/>
    <w:multiLevelType w:val="multilevel"/>
    <w:tmpl w:val="840C67DE"/>
    <w:lvl w:ilvl="0">
      <w:start w:val="1"/>
      <w:numFmt w:val="decimal"/>
      <w:lvlText w:val="%1)"/>
      <w:lvlJc w:val="left"/>
      <w:pPr>
        <w:ind w:left="432" w:hanging="432"/>
      </w:pPr>
      <w:rPr>
        <w:rFonts w:ascii="Arial" w:hAnsi="Arial" w:hint="default"/>
        <w:b/>
        <w:i w:val="0"/>
        <w:color w:val="283164"/>
        <w:sz w:val="24"/>
      </w:rPr>
    </w:lvl>
    <w:lvl w:ilvl="1">
      <w:start w:val="1"/>
      <w:numFmt w:val="decimal"/>
      <w:pStyle w:val="Nadpis2"/>
      <w:lvlText w:val="%2)"/>
      <w:lvlJc w:val="left"/>
      <w:pPr>
        <w:ind w:left="576" w:hanging="576"/>
      </w:pPr>
      <w:rPr>
        <w:rFonts w:hint="default"/>
      </w:rPr>
    </w:lvl>
    <w:lvl w:ilvl="2">
      <w:start w:val="1"/>
      <w:numFmt w:val="decimal"/>
      <w:pStyle w:val="Nadpis3"/>
      <w:suff w:val="space"/>
      <w:lvlText w:val="%1.%2.%3 "/>
      <w:lvlJc w:val="left"/>
      <w:pPr>
        <w:ind w:left="720" w:hanging="720"/>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
      <w:lvlJc w:val="left"/>
      <w:pPr>
        <w:ind w:left="1008" w:hanging="1008"/>
      </w:pPr>
      <w:rPr>
        <w:rFonts w:hint="default"/>
      </w:rPr>
    </w:lvl>
    <w:lvl w:ilvl="5">
      <w:start w:val="1"/>
      <w:numFmt w:val="decimal"/>
      <w:suff w:val="space"/>
      <w:lvlText w:val="%1.%2.%3.%4.%5.%6 "/>
      <w:lvlJc w:val="left"/>
      <w:pPr>
        <w:ind w:left="1152" w:hanging="1152"/>
      </w:pPr>
      <w:rPr>
        <w:rFonts w:hint="default"/>
      </w:rPr>
    </w:lvl>
    <w:lvl w:ilvl="6">
      <w:start w:val="1"/>
      <w:numFmt w:val="decimal"/>
      <w:suff w:val="space"/>
      <w:lvlText w:val="%1.%2.%3.%4.%5.%6.%7 "/>
      <w:lvlJc w:val="left"/>
      <w:pPr>
        <w:ind w:left="1296" w:hanging="1296"/>
      </w:pPr>
      <w:rPr>
        <w:rFonts w:hint="default"/>
      </w:rPr>
    </w:lvl>
    <w:lvl w:ilvl="7">
      <w:start w:val="1"/>
      <w:numFmt w:val="decimal"/>
      <w:suff w:val="space"/>
      <w:lvlText w:val="%1.%2.%3.%4.%5.%6.%7.%8 "/>
      <w:lvlJc w:val="left"/>
      <w:pPr>
        <w:ind w:left="1440" w:hanging="1440"/>
      </w:pPr>
      <w:rPr>
        <w:rFonts w:hint="default"/>
      </w:rPr>
    </w:lvl>
    <w:lvl w:ilvl="8">
      <w:start w:val="1"/>
      <w:numFmt w:val="decimal"/>
      <w:suff w:val="space"/>
      <w:lvlText w:val="%1.%2.%3.%4.%5.%6.%7.%8.%9 "/>
      <w:lvlJc w:val="left"/>
      <w:pPr>
        <w:ind w:left="1584" w:hanging="1584"/>
      </w:pPr>
      <w:rPr>
        <w:rFonts w:hint="default"/>
      </w:rPr>
    </w:lvl>
  </w:abstractNum>
  <w:abstractNum w:abstractNumId="11" w15:restartNumberingAfterBreak="0">
    <w:nsid w:val="3108484A"/>
    <w:multiLevelType w:val="hybridMultilevel"/>
    <w:tmpl w:val="1896743E"/>
    <w:lvl w:ilvl="0" w:tplc="3F38DBF4">
      <w:start w:val="1"/>
      <w:numFmt w:val="decimal"/>
      <w:lvlText w:val="%1."/>
      <w:lvlJc w:val="left"/>
      <w:pPr>
        <w:tabs>
          <w:tab w:val="num" w:pos="1068"/>
        </w:tabs>
        <w:ind w:left="1068" w:hanging="360"/>
      </w:pPr>
      <w:rPr>
        <w:rFonts w:hint="default"/>
        <w:b/>
      </w:rPr>
    </w:lvl>
    <w:lvl w:ilvl="1" w:tplc="FFFFFFFF">
      <w:start w:val="1"/>
      <w:numFmt w:val="lowerLetter"/>
      <w:lvlText w:val="%2)"/>
      <w:lvlJc w:val="left"/>
      <w:pPr>
        <w:tabs>
          <w:tab w:val="num" w:pos="1788"/>
        </w:tabs>
        <w:ind w:left="1788" w:hanging="360"/>
      </w:pPr>
      <w:rPr>
        <w:rFonts w:hint="default"/>
      </w:rPr>
    </w:lvl>
    <w:lvl w:ilvl="2" w:tplc="FFFFFFFF">
      <w:start w:val="1"/>
      <w:numFmt w:val="lowerLetter"/>
      <w:lvlText w:val="%3."/>
      <w:lvlJc w:val="left"/>
      <w:pPr>
        <w:tabs>
          <w:tab w:val="num" w:pos="2688"/>
        </w:tabs>
        <w:ind w:left="2688" w:hanging="360"/>
      </w:pPr>
      <w:rPr>
        <w:rFonts w:hint="default"/>
      </w:rPr>
    </w:lvl>
    <w:lvl w:ilvl="3" w:tplc="FFFFFFFF">
      <w:start w:val="1"/>
      <w:numFmt w:val="lowerLetter"/>
      <w:lvlText w:val="%4-"/>
      <w:lvlJc w:val="left"/>
      <w:pPr>
        <w:tabs>
          <w:tab w:val="num" w:pos="3228"/>
        </w:tabs>
        <w:ind w:left="3228" w:hanging="360"/>
      </w:pPr>
      <w:rPr>
        <w:rFonts w:hint="default"/>
      </w:r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2" w15:restartNumberingAfterBreak="0">
    <w:nsid w:val="37F606F1"/>
    <w:multiLevelType w:val="hybridMultilevel"/>
    <w:tmpl w:val="2F009402"/>
    <w:lvl w:ilvl="0" w:tplc="CFF68D7C">
      <w:start w:val="1"/>
      <w:numFmt w:val="lowerLetter"/>
      <w:lvlText w:val="%1)"/>
      <w:lvlJc w:val="left"/>
      <w:pPr>
        <w:ind w:left="587" w:hanging="360"/>
      </w:pPr>
      <w:rPr>
        <w:rFonts w:hint="default"/>
      </w:rPr>
    </w:lvl>
    <w:lvl w:ilvl="1" w:tplc="04050019" w:tentative="1">
      <w:start w:val="1"/>
      <w:numFmt w:val="lowerLetter"/>
      <w:lvlText w:val="%2."/>
      <w:lvlJc w:val="left"/>
      <w:pPr>
        <w:ind w:left="1307" w:hanging="360"/>
      </w:pPr>
    </w:lvl>
    <w:lvl w:ilvl="2" w:tplc="0405001B" w:tentative="1">
      <w:start w:val="1"/>
      <w:numFmt w:val="lowerRoman"/>
      <w:lvlText w:val="%3."/>
      <w:lvlJc w:val="right"/>
      <w:pPr>
        <w:ind w:left="2027" w:hanging="180"/>
      </w:pPr>
    </w:lvl>
    <w:lvl w:ilvl="3" w:tplc="0405000F" w:tentative="1">
      <w:start w:val="1"/>
      <w:numFmt w:val="decimal"/>
      <w:lvlText w:val="%4."/>
      <w:lvlJc w:val="left"/>
      <w:pPr>
        <w:ind w:left="2747" w:hanging="360"/>
      </w:pPr>
    </w:lvl>
    <w:lvl w:ilvl="4" w:tplc="04050019" w:tentative="1">
      <w:start w:val="1"/>
      <w:numFmt w:val="lowerLetter"/>
      <w:lvlText w:val="%5."/>
      <w:lvlJc w:val="left"/>
      <w:pPr>
        <w:ind w:left="3467" w:hanging="360"/>
      </w:pPr>
    </w:lvl>
    <w:lvl w:ilvl="5" w:tplc="0405001B" w:tentative="1">
      <w:start w:val="1"/>
      <w:numFmt w:val="lowerRoman"/>
      <w:lvlText w:val="%6."/>
      <w:lvlJc w:val="right"/>
      <w:pPr>
        <w:ind w:left="4187" w:hanging="180"/>
      </w:pPr>
    </w:lvl>
    <w:lvl w:ilvl="6" w:tplc="0405000F" w:tentative="1">
      <w:start w:val="1"/>
      <w:numFmt w:val="decimal"/>
      <w:lvlText w:val="%7."/>
      <w:lvlJc w:val="left"/>
      <w:pPr>
        <w:ind w:left="4907" w:hanging="360"/>
      </w:pPr>
    </w:lvl>
    <w:lvl w:ilvl="7" w:tplc="04050019" w:tentative="1">
      <w:start w:val="1"/>
      <w:numFmt w:val="lowerLetter"/>
      <w:lvlText w:val="%8."/>
      <w:lvlJc w:val="left"/>
      <w:pPr>
        <w:ind w:left="5627" w:hanging="360"/>
      </w:pPr>
    </w:lvl>
    <w:lvl w:ilvl="8" w:tplc="0405001B" w:tentative="1">
      <w:start w:val="1"/>
      <w:numFmt w:val="lowerRoman"/>
      <w:lvlText w:val="%9."/>
      <w:lvlJc w:val="right"/>
      <w:pPr>
        <w:ind w:left="6347" w:hanging="180"/>
      </w:pPr>
    </w:lvl>
  </w:abstractNum>
  <w:abstractNum w:abstractNumId="13" w15:restartNumberingAfterBreak="0">
    <w:nsid w:val="3CC473D0"/>
    <w:multiLevelType w:val="hybridMultilevel"/>
    <w:tmpl w:val="A5D66EEE"/>
    <w:lvl w:ilvl="0" w:tplc="42FE5BD8">
      <w:start w:val="1"/>
      <w:numFmt w:val="decimal"/>
      <w:lvlText w:val="2.%1."/>
      <w:lvlJc w:val="left"/>
      <w:pPr>
        <w:ind w:left="502" w:hanging="360"/>
      </w:pPr>
      <w:rPr>
        <w:rFonts w:ascii="Arial" w:hAnsi="Arial" w:hint="default"/>
        <w:b/>
        <w:i w:val="0"/>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CA1E01"/>
    <w:multiLevelType w:val="multilevel"/>
    <w:tmpl w:val="FAD6AFAC"/>
    <w:lvl w:ilvl="0">
      <w:start w:val="1"/>
      <w:numFmt w:val="decimal"/>
      <w:lvlText w:val="3.%1."/>
      <w:lvlJc w:val="left"/>
      <w:pPr>
        <w:ind w:left="502" w:hanging="360"/>
      </w:pPr>
      <w:rPr>
        <w:rFonts w:ascii="Arial" w:hAnsi="Arial" w:hint="default"/>
        <w:b/>
        <w:i w:val="0"/>
        <w:color w:val="auto"/>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CA631EC"/>
    <w:multiLevelType w:val="multilevel"/>
    <w:tmpl w:val="63EE06D6"/>
    <w:lvl w:ilvl="0">
      <w:start w:val="1"/>
      <w:numFmt w:val="decimal"/>
      <w:pStyle w:val="slovanseznam"/>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1341193"/>
    <w:multiLevelType w:val="hybridMultilevel"/>
    <w:tmpl w:val="21285EDC"/>
    <w:lvl w:ilvl="0" w:tplc="64BE35A2">
      <w:start w:val="1"/>
      <w:numFmt w:val="lowerLetter"/>
      <w:lvlText w:val="%1."/>
      <w:lvlJc w:val="left"/>
      <w:pPr>
        <w:tabs>
          <w:tab w:val="num" w:pos="720"/>
        </w:tabs>
        <w:ind w:left="720" w:hanging="360"/>
      </w:pPr>
      <w:rPr>
        <w:rFonts w:hint="default"/>
      </w:rPr>
    </w:lvl>
    <w:lvl w:ilvl="1" w:tplc="A0709A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6055020"/>
    <w:multiLevelType w:val="multilevel"/>
    <w:tmpl w:val="56383E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F73A59"/>
    <w:multiLevelType w:val="hybridMultilevel"/>
    <w:tmpl w:val="E23CD154"/>
    <w:lvl w:ilvl="0" w:tplc="1A06CE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AF1AE8"/>
    <w:multiLevelType w:val="hybridMultilevel"/>
    <w:tmpl w:val="761472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12673B"/>
    <w:multiLevelType w:val="hybridMultilevel"/>
    <w:tmpl w:val="995855FE"/>
    <w:lvl w:ilvl="0" w:tplc="3B74205A">
      <w:start w:val="1"/>
      <w:numFmt w:val="lowerLetter"/>
      <w:lvlText w:val="%1)"/>
      <w:lvlJc w:val="left"/>
      <w:pPr>
        <w:ind w:left="720" w:hanging="360"/>
      </w:pPr>
      <w:rPr>
        <w:rFonts w:hint="default"/>
      </w:rPr>
    </w:lvl>
    <w:lvl w:ilvl="1" w:tplc="7EE6B872" w:tentative="1">
      <w:start w:val="1"/>
      <w:numFmt w:val="lowerLetter"/>
      <w:lvlText w:val="%2."/>
      <w:lvlJc w:val="left"/>
      <w:pPr>
        <w:ind w:left="1440" w:hanging="360"/>
      </w:pPr>
    </w:lvl>
    <w:lvl w:ilvl="2" w:tplc="9C18BED4" w:tentative="1">
      <w:start w:val="1"/>
      <w:numFmt w:val="lowerRoman"/>
      <w:lvlText w:val="%3."/>
      <w:lvlJc w:val="right"/>
      <w:pPr>
        <w:ind w:left="2160" w:hanging="180"/>
      </w:pPr>
    </w:lvl>
    <w:lvl w:ilvl="3" w:tplc="79A66A50" w:tentative="1">
      <w:start w:val="1"/>
      <w:numFmt w:val="decimal"/>
      <w:lvlText w:val="%4."/>
      <w:lvlJc w:val="left"/>
      <w:pPr>
        <w:ind w:left="2880" w:hanging="360"/>
      </w:pPr>
    </w:lvl>
    <w:lvl w:ilvl="4" w:tplc="076AB684" w:tentative="1">
      <w:start w:val="1"/>
      <w:numFmt w:val="lowerLetter"/>
      <w:lvlText w:val="%5."/>
      <w:lvlJc w:val="left"/>
      <w:pPr>
        <w:ind w:left="3600" w:hanging="360"/>
      </w:pPr>
    </w:lvl>
    <w:lvl w:ilvl="5" w:tplc="61C65964" w:tentative="1">
      <w:start w:val="1"/>
      <w:numFmt w:val="lowerRoman"/>
      <w:lvlText w:val="%6."/>
      <w:lvlJc w:val="right"/>
      <w:pPr>
        <w:ind w:left="4320" w:hanging="180"/>
      </w:pPr>
    </w:lvl>
    <w:lvl w:ilvl="6" w:tplc="E8AE0D38" w:tentative="1">
      <w:start w:val="1"/>
      <w:numFmt w:val="decimal"/>
      <w:lvlText w:val="%7."/>
      <w:lvlJc w:val="left"/>
      <w:pPr>
        <w:ind w:left="5040" w:hanging="360"/>
      </w:pPr>
    </w:lvl>
    <w:lvl w:ilvl="7" w:tplc="5DDC547E" w:tentative="1">
      <w:start w:val="1"/>
      <w:numFmt w:val="lowerLetter"/>
      <w:lvlText w:val="%8."/>
      <w:lvlJc w:val="left"/>
      <w:pPr>
        <w:ind w:left="5760" w:hanging="360"/>
      </w:pPr>
    </w:lvl>
    <w:lvl w:ilvl="8" w:tplc="D60E6330" w:tentative="1">
      <w:start w:val="1"/>
      <w:numFmt w:val="lowerRoman"/>
      <w:lvlText w:val="%9."/>
      <w:lvlJc w:val="right"/>
      <w:pPr>
        <w:ind w:left="6480" w:hanging="180"/>
      </w:pPr>
    </w:lvl>
  </w:abstractNum>
  <w:num w:numId="1" w16cid:durableId="748382519">
    <w:abstractNumId w:val="1"/>
  </w:num>
  <w:num w:numId="2" w16cid:durableId="2073843611">
    <w:abstractNumId w:val="15"/>
  </w:num>
  <w:num w:numId="3" w16cid:durableId="120273945">
    <w:abstractNumId w:val="10"/>
  </w:num>
  <w:num w:numId="4" w16cid:durableId="1970739405">
    <w:abstractNumId w:val="10"/>
  </w:num>
  <w:num w:numId="5" w16cid:durableId="951978688">
    <w:abstractNumId w:val="10"/>
  </w:num>
  <w:num w:numId="6" w16cid:durableId="2101753284">
    <w:abstractNumId w:val="0"/>
  </w:num>
  <w:num w:numId="7" w16cid:durableId="1594166593">
    <w:abstractNumId w:val="8"/>
  </w:num>
  <w:num w:numId="8" w16cid:durableId="168106524">
    <w:abstractNumId w:val="2"/>
  </w:num>
  <w:num w:numId="9" w16cid:durableId="1353414140">
    <w:abstractNumId w:val="2"/>
  </w:num>
  <w:num w:numId="10" w16cid:durableId="483161238">
    <w:abstractNumId w:val="7"/>
  </w:num>
  <w:num w:numId="11" w16cid:durableId="371731067">
    <w:abstractNumId w:val="20"/>
  </w:num>
  <w:num w:numId="12" w16cid:durableId="1369840077">
    <w:abstractNumId w:val="3"/>
  </w:num>
  <w:num w:numId="13" w16cid:durableId="589582996">
    <w:abstractNumId w:val="11"/>
  </w:num>
  <w:num w:numId="14" w16cid:durableId="1886716054">
    <w:abstractNumId w:val="16"/>
  </w:num>
  <w:num w:numId="15" w16cid:durableId="111945164">
    <w:abstractNumId w:val="19"/>
  </w:num>
  <w:num w:numId="16" w16cid:durableId="467671232">
    <w:abstractNumId w:val="4"/>
  </w:num>
  <w:num w:numId="17" w16cid:durableId="1772123444">
    <w:abstractNumId w:val="6"/>
  </w:num>
  <w:num w:numId="18" w16cid:durableId="1924753407">
    <w:abstractNumId w:val="18"/>
  </w:num>
  <w:num w:numId="19" w16cid:durableId="618533703">
    <w:abstractNumId w:val="5"/>
  </w:num>
  <w:num w:numId="20" w16cid:durableId="282350118">
    <w:abstractNumId w:val="10"/>
  </w:num>
  <w:num w:numId="21" w16cid:durableId="1891922232">
    <w:abstractNumId w:val="13"/>
  </w:num>
  <w:num w:numId="22" w16cid:durableId="1138913331">
    <w:abstractNumId w:val="17"/>
  </w:num>
  <w:num w:numId="23" w16cid:durableId="964121380">
    <w:abstractNumId w:val="14"/>
  </w:num>
  <w:num w:numId="24" w16cid:durableId="1509445169">
    <w:abstractNumId w:val="12"/>
  </w:num>
  <w:num w:numId="25" w16cid:durableId="1276522666">
    <w:abstractNumId w:val="10"/>
  </w:num>
  <w:num w:numId="26" w16cid:durableId="198512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539"/>
    <w:rsid w:val="00001852"/>
    <w:rsid w:val="00003285"/>
    <w:rsid w:val="00024FD6"/>
    <w:rsid w:val="00042D34"/>
    <w:rsid w:val="00042E40"/>
    <w:rsid w:val="00061DB7"/>
    <w:rsid w:val="00077FE1"/>
    <w:rsid w:val="000A30CB"/>
    <w:rsid w:val="000A7BCC"/>
    <w:rsid w:val="000B13F1"/>
    <w:rsid w:val="000C23EC"/>
    <w:rsid w:val="000C2CAF"/>
    <w:rsid w:val="000C3539"/>
    <w:rsid w:val="000C6AA8"/>
    <w:rsid w:val="000D1B4D"/>
    <w:rsid w:val="000D7AE8"/>
    <w:rsid w:val="000E365F"/>
    <w:rsid w:val="000F513F"/>
    <w:rsid w:val="000F6949"/>
    <w:rsid w:val="00100FAA"/>
    <w:rsid w:val="00107B6A"/>
    <w:rsid w:val="001208AD"/>
    <w:rsid w:val="0012226D"/>
    <w:rsid w:val="00132269"/>
    <w:rsid w:val="0015110A"/>
    <w:rsid w:val="00164E38"/>
    <w:rsid w:val="0017041B"/>
    <w:rsid w:val="00180696"/>
    <w:rsid w:val="00196615"/>
    <w:rsid w:val="001A6F0E"/>
    <w:rsid w:val="001B7AFC"/>
    <w:rsid w:val="001C237D"/>
    <w:rsid w:val="001D2309"/>
    <w:rsid w:val="001D39DB"/>
    <w:rsid w:val="001F6B65"/>
    <w:rsid w:val="00201B15"/>
    <w:rsid w:val="002031B5"/>
    <w:rsid w:val="00215F99"/>
    <w:rsid w:val="00226667"/>
    <w:rsid w:val="00233AE7"/>
    <w:rsid w:val="00234B06"/>
    <w:rsid w:val="00256F10"/>
    <w:rsid w:val="00265E3F"/>
    <w:rsid w:val="00275FCD"/>
    <w:rsid w:val="002776E5"/>
    <w:rsid w:val="00283382"/>
    <w:rsid w:val="00294546"/>
    <w:rsid w:val="002C15F3"/>
    <w:rsid w:val="00317016"/>
    <w:rsid w:val="003215C5"/>
    <w:rsid w:val="00330CAF"/>
    <w:rsid w:val="00351FB6"/>
    <w:rsid w:val="00352F89"/>
    <w:rsid w:val="00377C56"/>
    <w:rsid w:val="00393829"/>
    <w:rsid w:val="003A623B"/>
    <w:rsid w:val="003A73E4"/>
    <w:rsid w:val="003B17E5"/>
    <w:rsid w:val="003C368E"/>
    <w:rsid w:val="003D1592"/>
    <w:rsid w:val="003D2B22"/>
    <w:rsid w:val="003D4888"/>
    <w:rsid w:val="003E1898"/>
    <w:rsid w:val="003E35C5"/>
    <w:rsid w:val="003E6317"/>
    <w:rsid w:val="003F5E50"/>
    <w:rsid w:val="00400907"/>
    <w:rsid w:val="00431281"/>
    <w:rsid w:val="004340BD"/>
    <w:rsid w:val="00437C9D"/>
    <w:rsid w:val="004474A5"/>
    <w:rsid w:val="00450AC2"/>
    <w:rsid w:val="00451B4C"/>
    <w:rsid w:val="00457EC7"/>
    <w:rsid w:val="00497D94"/>
    <w:rsid w:val="004A5503"/>
    <w:rsid w:val="004C306B"/>
    <w:rsid w:val="004C3143"/>
    <w:rsid w:val="004D23A1"/>
    <w:rsid w:val="004D45AA"/>
    <w:rsid w:val="00502C50"/>
    <w:rsid w:val="005040C6"/>
    <w:rsid w:val="00531461"/>
    <w:rsid w:val="00536DF6"/>
    <w:rsid w:val="005461DA"/>
    <w:rsid w:val="005510EA"/>
    <w:rsid w:val="00562240"/>
    <w:rsid w:val="005735D1"/>
    <w:rsid w:val="0057383E"/>
    <w:rsid w:val="0057782E"/>
    <w:rsid w:val="00582700"/>
    <w:rsid w:val="00584101"/>
    <w:rsid w:val="0059611D"/>
    <w:rsid w:val="005B61A6"/>
    <w:rsid w:val="005D487E"/>
    <w:rsid w:val="005D4CD4"/>
    <w:rsid w:val="005D6F7E"/>
    <w:rsid w:val="005E554C"/>
    <w:rsid w:val="005F6E93"/>
    <w:rsid w:val="005F74B3"/>
    <w:rsid w:val="0060172E"/>
    <w:rsid w:val="00610412"/>
    <w:rsid w:val="006129B7"/>
    <w:rsid w:val="00616265"/>
    <w:rsid w:val="006238D5"/>
    <w:rsid w:val="00680E85"/>
    <w:rsid w:val="006B399C"/>
    <w:rsid w:val="006B3A44"/>
    <w:rsid w:val="006E55E7"/>
    <w:rsid w:val="007065C6"/>
    <w:rsid w:val="00716DF9"/>
    <w:rsid w:val="00731931"/>
    <w:rsid w:val="007371EB"/>
    <w:rsid w:val="007427D7"/>
    <w:rsid w:val="007428B0"/>
    <w:rsid w:val="00754159"/>
    <w:rsid w:val="00760C73"/>
    <w:rsid w:val="00761D1D"/>
    <w:rsid w:val="00767429"/>
    <w:rsid w:val="007804DF"/>
    <w:rsid w:val="0078450F"/>
    <w:rsid w:val="007A3285"/>
    <w:rsid w:val="007A5B0F"/>
    <w:rsid w:val="007B084C"/>
    <w:rsid w:val="007B49E9"/>
    <w:rsid w:val="007B61B8"/>
    <w:rsid w:val="007C1A7A"/>
    <w:rsid w:val="007D4C11"/>
    <w:rsid w:val="007E1539"/>
    <w:rsid w:val="008142CA"/>
    <w:rsid w:val="008210FA"/>
    <w:rsid w:val="008346C8"/>
    <w:rsid w:val="0084136A"/>
    <w:rsid w:val="008524B9"/>
    <w:rsid w:val="00855802"/>
    <w:rsid w:val="0085758F"/>
    <w:rsid w:val="00857D66"/>
    <w:rsid w:val="008669F0"/>
    <w:rsid w:val="00872F48"/>
    <w:rsid w:val="0087301D"/>
    <w:rsid w:val="008C2C30"/>
    <w:rsid w:val="008F57E7"/>
    <w:rsid w:val="008F61AF"/>
    <w:rsid w:val="008F79D1"/>
    <w:rsid w:val="00900547"/>
    <w:rsid w:val="009621AC"/>
    <w:rsid w:val="00967D6C"/>
    <w:rsid w:val="00994F80"/>
    <w:rsid w:val="009C617F"/>
    <w:rsid w:val="00A12A18"/>
    <w:rsid w:val="00A17610"/>
    <w:rsid w:val="00A21539"/>
    <w:rsid w:val="00A3678A"/>
    <w:rsid w:val="00A43AD8"/>
    <w:rsid w:val="00A473EA"/>
    <w:rsid w:val="00A82402"/>
    <w:rsid w:val="00A943C2"/>
    <w:rsid w:val="00A95C7A"/>
    <w:rsid w:val="00A97970"/>
    <w:rsid w:val="00AB09E0"/>
    <w:rsid w:val="00AD2084"/>
    <w:rsid w:val="00AD717B"/>
    <w:rsid w:val="00AD7D3D"/>
    <w:rsid w:val="00B05516"/>
    <w:rsid w:val="00B23C45"/>
    <w:rsid w:val="00B257A5"/>
    <w:rsid w:val="00B538D3"/>
    <w:rsid w:val="00B5607F"/>
    <w:rsid w:val="00B600E3"/>
    <w:rsid w:val="00B615D4"/>
    <w:rsid w:val="00B630C3"/>
    <w:rsid w:val="00B72B5A"/>
    <w:rsid w:val="00B866DE"/>
    <w:rsid w:val="00B90A7C"/>
    <w:rsid w:val="00BA4AB7"/>
    <w:rsid w:val="00BA6016"/>
    <w:rsid w:val="00BC3F1E"/>
    <w:rsid w:val="00BC5723"/>
    <w:rsid w:val="00BE1DAD"/>
    <w:rsid w:val="00C434B8"/>
    <w:rsid w:val="00C462F2"/>
    <w:rsid w:val="00C621DD"/>
    <w:rsid w:val="00C75758"/>
    <w:rsid w:val="00CB5B0C"/>
    <w:rsid w:val="00CD2CD6"/>
    <w:rsid w:val="00CF6F05"/>
    <w:rsid w:val="00D02072"/>
    <w:rsid w:val="00D065AB"/>
    <w:rsid w:val="00D57B77"/>
    <w:rsid w:val="00D6713B"/>
    <w:rsid w:val="00D7148D"/>
    <w:rsid w:val="00D71CDE"/>
    <w:rsid w:val="00D8582D"/>
    <w:rsid w:val="00D90EC5"/>
    <w:rsid w:val="00D97ADE"/>
    <w:rsid w:val="00DA5CB0"/>
    <w:rsid w:val="00DA5F4D"/>
    <w:rsid w:val="00DC5E78"/>
    <w:rsid w:val="00DD609B"/>
    <w:rsid w:val="00DE1C50"/>
    <w:rsid w:val="00DE6925"/>
    <w:rsid w:val="00DF0C2C"/>
    <w:rsid w:val="00E05E30"/>
    <w:rsid w:val="00E13F92"/>
    <w:rsid w:val="00E1746F"/>
    <w:rsid w:val="00E22EAF"/>
    <w:rsid w:val="00E23F4F"/>
    <w:rsid w:val="00E25E49"/>
    <w:rsid w:val="00E5291A"/>
    <w:rsid w:val="00E5601A"/>
    <w:rsid w:val="00E60708"/>
    <w:rsid w:val="00E847A3"/>
    <w:rsid w:val="00E8769A"/>
    <w:rsid w:val="00E923AE"/>
    <w:rsid w:val="00E95F31"/>
    <w:rsid w:val="00EA1639"/>
    <w:rsid w:val="00EB5DF0"/>
    <w:rsid w:val="00EB7AF0"/>
    <w:rsid w:val="00EC52C0"/>
    <w:rsid w:val="00ED42F3"/>
    <w:rsid w:val="00ED64DA"/>
    <w:rsid w:val="00ED6ED6"/>
    <w:rsid w:val="00F0758F"/>
    <w:rsid w:val="00F200B0"/>
    <w:rsid w:val="00F25E1C"/>
    <w:rsid w:val="00F25EF0"/>
    <w:rsid w:val="00F41E3A"/>
    <w:rsid w:val="00F46B2F"/>
    <w:rsid w:val="00F57213"/>
    <w:rsid w:val="00F67173"/>
    <w:rsid w:val="00F715CD"/>
    <w:rsid w:val="00F771D4"/>
    <w:rsid w:val="00F8042C"/>
    <w:rsid w:val="00F845C2"/>
    <w:rsid w:val="00F92E4B"/>
    <w:rsid w:val="00F94B58"/>
    <w:rsid w:val="00F95DD0"/>
    <w:rsid w:val="00FD2B40"/>
    <w:rsid w:val="00FF25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490B676"/>
  <w15:docId w15:val="{EEE6132A-E3C8-4190-8F04-7DB4C4A3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24B9"/>
    <w:pPr>
      <w:jc w:val="both"/>
    </w:pPr>
    <w:rPr>
      <w:rFonts w:ascii="Arial" w:hAnsi="Arial"/>
      <w:sz w:val="22"/>
      <w:szCs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qFormat/>
    <w:rsid w:val="008524B9"/>
    <w:pPr>
      <w:widowControl w:val="0"/>
      <w:spacing w:after="220"/>
      <w:jc w:val="left"/>
      <w:outlineLvl w:val="0"/>
    </w:pPr>
    <w:rPr>
      <w:rFonts w:cs="Arial"/>
      <w:b/>
      <w:noProof/>
      <w:color w:val="283164"/>
      <w:sz w:val="32"/>
      <w:szCs w:val="20"/>
    </w:rPr>
  </w:style>
  <w:style w:type="paragraph" w:styleId="Nadpis2">
    <w:name w:val="heading 2"/>
    <w:basedOn w:val="Normln"/>
    <w:next w:val="Normln"/>
    <w:qFormat/>
    <w:rsid w:val="00B257A5"/>
    <w:pPr>
      <w:widowControl w:val="0"/>
      <w:numPr>
        <w:ilvl w:val="1"/>
        <w:numId w:val="5"/>
      </w:numPr>
      <w:spacing w:before="220" w:after="220"/>
      <w:outlineLvl w:val="1"/>
    </w:pPr>
    <w:rPr>
      <w:b/>
      <w:color w:val="283164"/>
      <w:sz w:val="24"/>
      <w:szCs w:val="20"/>
    </w:rPr>
  </w:style>
  <w:style w:type="paragraph" w:styleId="Nadpis3">
    <w:name w:val="heading 3"/>
    <w:aliases w:val="Podkapitola2,Záhlaví 3,V_Head3,V_Head31,V_Head32,Nadpis 3 Char1 Char,Nadpis 3 Char Char Char,Podpodkapitola,adpis 3"/>
    <w:basedOn w:val="Normln"/>
    <w:next w:val="Normln"/>
    <w:qFormat/>
    <w:rsid w:val="008524B9"/>
    <w:pPr>
      <w:keepNext/>
      <w:numPr>
        <w:ilvl w:val="2"/>
        <w:numId w:val="5"/>
      </w:numPr>
      <w:spacing w:before="220" w:after="220"/>
      <w:outlineLvl w:val="2"/>
    </w:pPr>
    <w:rPr>
      <w:b/>
      <w:color w:val="283164"/>
      <w:szCs w:val="22"/>
    </w:rPr>
  </w:style>
  <w:style w:type="paragraph" w:styleId="Nadpis4">
    <w:name w:val="heading 4"/>
    <w:basedOn w:val="Normln"/>
    <w:next w:val="Normln"/>
    <w:link w:val="Nadpis4Char"/>
    <w:qFormat/>
    <w:rsid w:val="005D4CD4"/>
    <w:pPr>
      <w:keepNext/>
      <w:tabs>
        <w:tab w:val="num" w:pos="1080"/>
      </w:tabs>
      <w:spacing w:before="240" w:after="240"/>
      <w:jc w:val="left"/>
      <w:outlineLvl w:val="3"/>
    </w:pPr>
    <w:rPr>
      <w:rFonts w:ascii="NimbusSanNovTEE" w:hAnsi="NimbusSanNovTEE"/>
      <w:b/>
      <w:szCs w:val="20"/>
      <w:lang w:val="en-GB"/>
    </w:rPr>
  </w:style>
  <w:style w:type="paragraph" w:styleId="Nadpis5">
    <w:name w:val="heading 5"/>
    <w:basedOn w:val="Normln"/>
    <w:next w:val="Normln"/>
    <w:link w:val="Nadpis5Char"/>
    <w:qFormat/>
    <w:rsid w:val="005D4CD4"/>
    <w:pPr>
      <w:tabs>
        <w:tab w:val="num" w:pos="0"/>
      </w:tabs>
      <w:spacing w:before="240" w:after="60"/>
      <w:jc w:val="left"/>
      <w:outlineLvl w:val="4"/>
    </w:pPr>
    <w:rPr>
      <w:szCs w:val="20"/>
    </w:rPr>
  </w:style>
  <w:style w:type="paragraph" w:styleId="Nadpis6">
    <w:name w:val="heading 6"/>
    <w:basedOn w:val="Normln"/>
    <w:next w:val="Normln"/>
    <w:link w:val="Nadpis6Char"/>
    <w:qFormat/>
    <w:rsid w:val="005D4CD4"/>
    <w:pPr>
      <w:tabs>
        <w:tab w:val="num" w:pos="0"/>
      </w:tabs>
      <w:spacing w:before="240" w:after="60"/>
      <w:jc w:val="left"/>
      <w:outlineLvl w:val="5"/>
    </w:pPr>
    <w:rPr>
      <w:i/>
      <w:szCs w:val="20"/>
    </w:rPr>
  </w:style>
  <w:style w:type="paragraph" w:styleId="Nadpis7">
    <w:name w:val="heading 7"/>
    <w:basedOn w:val="Normln"/>
    <w:next w:val="Normln"/>
    <w:link w:val="Nadpis7Char"/>
    <w:qFormat/>
    <w:rsid w:val="005D4CD4"/>
    <w:pPr>
      <w:tabs>
        <w:tab w:val="num" w:pos="0"/>
      </w:tabs>
      <w:spacing w:before="240" w:after="60"/>
      <w:jc w:val="left"/>
      <w:outlineLvl w:val="6"/>
    </w:pPr>
    <w:rPr>
      <w:sz w:val="20"/>
      <w:szCs w:val="20"/>
    </w:rPr>
  </w:style>
  <w:style w:type="paragraph" w:styleId="Nadpis8">
    <w:name w:val="heading 8"/>
    <w:basedOn w:val="Normln"/>
    <w:next w:val="Normln"/>
    <w:link w:val="Nadpis8Char"/>
    <w:qFormat/>
    <w:rsid w:val="005D4CD4"/>
    <w:pPr>
      <w:tabs>
        <w:tab w:val="num" w:pos="0"/>
      </w:tabs>
      <w:spacing w:before="240" w:after="60"/>
      <w:jc w:val="left"/>
      <w:outlineLvl w:val="7"/>
    </w:pPr>
    <w:rPr>
      <w:i/>
      <w:sz w:val="20"/>
      <w:szCs w:val="20"/>
    </w:rPr>
  </w:style>
  <w:style w:type="paragraph" w:styleId="Nadpis9">
    <w:name w:val="heading 9"/>
    <w:basedOn w:val="Normln"/>
    <w:next w:val="Normln"/>
    <w:link w:val="Nadpis9Char"/>
    <w:qFormat/>
    <w:rsid w:val="005D4CD4"/>
    <w:pPr>
      <w:tabs>
        <w:tab w:val="num" w:pos="0"/>
      </w:tabs>
      <w:spacing w:before="240" w:after="60"/>
      <w:jc w:val="left"/>
      <w:outlineLvl w:val="8"/>
    </w:pPr>
    <w:rPr>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lovanseznam">
    <w:name w:val="List Number"/>
    <w:basedOn w:val="Normln"/>
    <w:rsid w:val="008524B9"/>
    <w:pPr>
      <w:numPr>
        <w:numId w:val="2"/>
      </w:numPr>
    </w:pPr>
  </w:style>
  <w:style w:type="paragraph" w:styleId="Nzev">
    <w:name w:val="Title"/>
    <w:basedOn w:val="Normln"/>
    <w:next w:val="Normln"/>
    <w:qFormat/>
    <w:rsid w:val="008524B9"/>
    <w:pPr>
      <w:spacing w:before="120"/>
      <w:jc w:val="center"/>
    </w:pPr>
    <w:rPr>
      <w:b/>
      <w:color w:val="283164"/>
      <w:sz w:val="32"/>
      <w:szCs w:val="28"/>
    </w:rPr>
  </w:style>
  <w:style w:type="paragraph" w:styleId="slovanseznam2">
    <w:name w:val="List Number 2"/>
    <w:basedOn w:val="Normln"/>
    <w:rsid w:val="008524B9"/>
    <w:pPr>
      <w:numPr>
        <w:ilvl w:val="1"/>
        <w:numId w:val="7"/>
      </w:numPr>
    </w:pPr>
  </w:style>
  <w:style w:type="paragraph" w:styleId="Seznamsodrkami">
    <w:name w:val="List Bullet"/>
    <w:basedOn w:val="Normln"/>
    <w:rsid w:val="008524B9"/>
    <w:pPr>
      <w:numPr>
        <w:numId w:val="9"/>
      </w:numPr>
    </w:pPr>
  </w:style>
  <w:style w:type="table" w:styleId="Mkatabulky">
    <w:name w:val="Table Grid"/>
    <w:basedOn w:val="Normlntabulka"/>
    <w:rsid w:val="00A21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21539"/>
    <w:pPr>
      <w:ind w:left="720"/>
      <w:contextualSpacing/>
    </w:pPr>
  </w:style>
  <w:style w:type="paragraph" w:styleId="Zhlav">
    <w:name w:val="header"/>
    <w:basedOn w:val="Normln"/>
    <w:link w:val="ZhlavChar"/>
    <w:rsid w:val="00226667"/>
    <w:pPr>
      <w:tabs>
        <w:tab w:val="center" w:pos="4536"/>
        <w:tab w:val="right" w:pos="9072"/>
      </w:tabs>
    </w:pPr>
  </w:style>
  <w:style w:type="character" w:customStyle="1" w:styleId="ZhlavChar">
    <w:name w:val="Záhlaví Char"/>
    <w:basedOn w:val="Standardnpsmoodstavce"/>
    <w:link w:val="Zhlav"/>
    <w:rsid w:val="00226667"/>
    <w:rPr>
      <w:rFonts w:ascii="Arial" w:hAnsi="Arial"/>
      <w:sz w:val="22"/>
      <w:szCs w:val="24"/>
    </w:rPr>
  </w:style>
  <w:style w:type="paragraph" w:styleId="Zpat">
    <w:name w:val="footer"/>
    <w:basedOn w:val="Normln"/>
    <w:link w:val="ZpatChar"/>
    <w:rsid w:val="00226667"/>
    <w:pPr>
      <w:tabs>
        <w:tab w:val="center" w:pos="4536"/>
        <w:tab w:val="right" w:pos="9072"/>
      </w:tabs>
    </w:pPr>
  </w:style>
  <w:style w:type="character" w:customStyle="1" w:styleId="ZpatChar">
    <w:name w:val="Zápatí Char"/>
    <w:basedOn w:val="Standardnpsmoodstavce"/>
    <w:link w:val="Zpat"/>
    <w:rsid w:val="00226667"/>
    <w:rPr>
      <w:rFonts w:ascii="Arial" w:hAnsi="Arial"/>
      <w:sz w:val="22"/>
      <w:szCs w:val="24"/>
    </w:rPr>
  </w:style>
  <w:style w:type="character" w:customStyle="1" w:styleId="Nadpis4Char">
    <w:name w:val="Nadpis 4 Char"/>
    <w:basedOn w:val="Standardnpsmoodstavce"/>
    <w:link w:val="Nadpis4"/>
    <w:rsid w:val="005D4CD4"/>
    <w:rPr>
      <w:rFonts w:ascii="NimbusSanNovTEE" w:hAnsi="NimbusSanNovTEE"/>
      <w:b/>
      <w:sz w:val="22"/>
      <w:lang w:val="en-GB"/>
    </w:rPr>
  </w:style>
  <w:style w:type="character" w:customStyle="1" w:styleId="Nadpis5Char">
    <w:name w:val="Nadpis 5 Char"/>
    <w:basedOn w:val="Standardnpsmoodstavce"/>
    <w:link w:val="Nadpis5"/>
    <w:rsid w:val="005D4CD4"/>
    <w:rPr>
      <w:rFonts w:ascii="Arial" w:hAnsi="Arial"/>
      <w:sz w:val="22"/>
    </w:rPr>
  </w:style>
  <w:style w:type="character" w:customStyle="1" w:styleId="Nadpis6Char">
    <w:name w:val="Nadpis 6 Char"/>
    <w:basedOn w:val="Standardnpsmoodstavce"/>
    <w:link w:val="Nadpis6"/>
    <w:rsid w:val="005D4CD4"/>
    <w:rPr>
      <w:rFonts w:ascii="Arial" w:hAnsi="Arial"/>
      <w:i/>
      <w:sz w:val="22"/>
    </w:rPr>
  </w:style>
  <w:style w:type="character" w:customStyle="1" w:styleId="Nadpis7Char">
    <w:name w:val="Nadpis 7 Char"/>
    <w:basedOn w:val="Standardnpsmoodstavce"/>
    <w:link w:val="Nadpis7"/>
    <w:rsid w:val="005D4CD4"/>
    <w:rPr>
      <w:rFonts w:ascii="Arial" w:hAnsi="Arial"/>
    </w:rPr>
  </w:style>
  <w:style w:type="character" w:customStyle="1" w:styleId="Nadpis8Char">
    <w:name w:val="Nadpis 8 Char"/>
    <w:basedOn w:val="Standardnpsmoodstavce"/>
    <w:link w:val="Nadpis8"/>
    <w:rsid w:val="005D4CD4"/>
    <w:rPr>
      <w:rFonts w:ascii="Arial" w:hAnsi="Arial"/>
      <w:i/>
    </w:rPr>
  </w:style>
  <w:style w:type="character" w:customStyle="1" w:styleId="Nadpis9Char">
    <w:name w:val="Nadpis 9 Char"/>
    <w:basedOn w:val="Standardnpsmoodstavce"/>
    <w:link w:val="Nadpis9"/>
    <w:rsid w:val="005D4CD4"/>
    <w:rPr>
      <w:rFonts w:ascii="Arial" w:hAnsi="Arial"/>
      <w:b/>
      <w:i/>
      <w:sz w:val="18"/>
    </w:rPr>
  </w:style>
  <w:style w:type="paragraph" w:styleId="Zkladntext">
    <w:name w:val="Body Text"/>
    <w:aliases w:val="Standard paragraph"/>
    <w:basedOn w:val="Normln"/>
    <w:link w:val="ZkladntextChar"/>
    <w:rsid w:val="00450AC2"/>
    <w:pPr>
      <w:jc w:val="center"/>
    </w:pPr>
    <w:rPr>
      <w:rFonts w:ascii="Times New Roman" w:hAnsi="Times New Roman"/>
      <w:b/>
      <w:i/>
      <w:sz w:val="36"/>
      <w:szCs w:val="20"/>
      <w:u w:val="single"/>
    </w:rPr>
  </w:style>
  <w:style w:type="character" w:customStyle="1" w:styleId="ZkladntextChar">
    <w:name w:val="Základní text Char"/>
    <w:aliases w:val="Standard paragraph Char"/>
    <w:basedOn w:val="Standardnpsmoodstavce"/>
    <w:link w:val="Zkladntext"/>
    <w:rsid w:val="00450AC2"/>
    <w:rPr>
      <w:b/>
      <w:i/>
      <w:sz w:val="36"/>
      <w:u w:val="single"/>
    </w:rPr>
  </w:style>
  <w:style w:type="paragraph" w:styleId="Zkladntext3">
    <w:name w:val="Body Text 3"/>
    <w:basedOn w:val="Normln"/>
    <w:link w:val="Zkladntext3Char"/>
    <w:rsid w:val="00450AC2"/>
    <w:pPr>
      <w:spacing w:after="120"/>
    </w:pPr>
    <w:rPr>
      <w:sz w:val="16"/>
      <w:szCs w:val="16"/>
    </w:rPr>
  </w:style>
  <w:style w:type="character" w:customStyle="1" w:styleId="Zkladntext3Char">
    <w:name w:val="Základní text 3 Char"/>
    <w:basedOn w:val="Standardnpsmoodstavce"/>
    <w:link w:val="Zkladntext3"/>
    <w:rsid w:val="00450AC2"/>
    <w:rPr>
      <w:rFonts w:ascii="Arial" w:hAnsi="Arial"/>
      <w:sz w:val="16"/>
      <w:szCs w:val="16"/>
    </w:rPr>
  </w:style>
  <w:style w:type="paragraph" w:customStyle="1" w:styleId="Text">
    <w:name w:val="Text"/>
    <w:basedOn w:val="Normln"/>
    <w:rsid w:val="00457EC7"/>
    <w:pPr>
      <w:spacing w:after="240"/>
      <w:jc w:val="left"/>
    </w:pPr>
    <w:rPr>
      <w:rFonts w:ascii="Times New Roman" w:hAnsi="Times New Roman"/>
      <w:sz w:val="24"/>
      <w:szCs w:val="20"/>
      <w:lang w:eastAsia="en-US"/>
    </w:rPr>
  </w:style>
  <w:style w:type="character" w:styleId="Odkaznakoment">
    <w:name w:val="annotation reference"/>
    <w:basedOn w:val="Standardnpsmoodstavce"/>
    <w:semiHidden/>
    <w:unhideWhenUsed/>
    <w:rsid w:val="006129B7"/>
    <w:rPr>
      <w:sz w:val="16"/>
      <w:szCs w:val="16"/>
    </w:rPr>
  </w:style>
  <w:style w:type="paragraph" w:styleId="Textkomente">
    <w:name w:val="annotation text"/>
    <w:basedOn w:val="Normln"/>
    <w:link w:val="TextkomenteChar"/>
    <w:semiHidden/>
    <w:unhideWhenUsed/>
    <w:rsid w:val="006129B7"/>
    <w:rPr>
      <w:sz w:val="20"/>
      <w:szCs w:val="20"/>
    </w:rPr>
  </w:style>
  <w:style w:type="character" w:customStyle="1" w:styleId="TextkomenteChar">
    <w:name w:val="Text komentáře Char"/>
    <w:basedOn w:val="Standardnpsmoodstavce"/>
    <w:link w:val="Textkomente"/>
    <w:semiHidden/>
    <w:rsid w:val="006129B7"/>
    <w:rPr>
      <w:rFonts w:ascii="Arial" w:hAnsi="Arial"/>
    </w:rPr>
  </w:style>
  <w:style w:type="paragraph" w:styleId="Pedmtkomente">
    <w:name w:val="annotation subject"/>
    <w:basedOn w:val="Textkomente"/>
    <w:next w:val="Textkomente"/>
    <w:link w:val="PedmtkomenteChar"/>
    <w:semiHidden/>
    <w:unhideWhenUsed/>
    <w:rsid w:val="006129B7"/>
    <w:rPr>
      <w:b/>
      <w:bCs/>
    </w:rPr>
  </w:style>
  <w:style w:type="character" w:customStyle="1" w:styleId="PedmtkomenteChar">
    <w:name w:val="Předmět komentáře Char"/>
    <w:basedOn w:val="TextkomenteChar"/>
    <w:link w:val="Pedmtkomente"/>
    <w:semiHidden/>
    <w:rsid w:val="006129B7"/>
    <w:rPr>
      <w:rFonts w:ascii="Arial" w:hAnsi="Arial"/>
      <w:b/>
      <w:bCs/>
    </w:rPr>
  </w:style>
  <w:style w:type="paragraph" w:styleId="Textbubliny">
    <w:name w:val="Balloon Text"/>
    <w:basedOn w:val="Normln"/>
    <w:link w:val="TextbublinyChar"/>
    <w:semiHidden/>
    <w:unhideWhenUsed/>
    <w:rsid w:val="006129B7"/>
    <w:rPr>
      <w:rFonts w:ascii="Segoe UI" w:hAnsi="Segoe UI" w:cs="Segoe UI"/>
      <w:sz w:val="18"/>
      <w:szCs w:val="18"/>
    </w:rPr>
  </w:style>
  <w:style w:type="character" w:customStyle="1" w:styleId="TextbublinyChar">
    <w:name w:val="Text bubliny Char"/>
    <w:basedOn w:val="Standardnpsmoodstavce"/>
    <w:link w:val="Textbubliny"/>
    <w:semiHidden/>
    <w:rsid w:val="006129B7"/>
    <w:rPr>
      <w:rFonts w:ascii="Segoe UI" w:hAnsi="Segoe UI" w:cs="Segoe UI"/>
      <w:sz w:val="18"/>
      <w:szCs w:val="18"/>
    </w:rPr>
  </w:style>
  <w:style w:type="paragraph" w:styleId="Revize">
    <w:name w:val="Revision"/>
    <w:hidden/>
    <w:uiPriority w:val="99"/>
    <w:semiHidden/>
    <w:rsid w:val="005D487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06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84A66-AF07-49BF-B522-7240BE2E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8</Pages>
  <Words>2760</Words>
  <Characters>16481</Characters>
  <Application>Microsoft Office Word</Application>
  <DocSecurity>0</DocSecurity>
  <Lines>279</Lines>
  <Paragraphs>142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Urbánek</dc:creator>
  <cp:keywords/>
  <dc:description/>
  <cp:lastModifiedBy>Urbánek Dušan</cp:lastModifiedBy>
  <cp:revision>16</cp:revision>
  <cp:lastPrinted>2012-11-01T06:01:00Z</cp:lastPrinted>
  <dcterms:created xsi:type="dcterms:W3CDTF">2018-10-17T10:40:00Z</dcterms:created>
  <dcterms:modified xsi:type="dcterms:W3CDTF">2025-11-27T09:46:00Z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283cd4-40d8-4b4e-b666-5881e4d226e3_Enabled">
    <vt:lpwstr>true</vt:lpwstr>
  </property>
  <property fmtid="{D5CDD505-2E9C-101B-9397-08002B2CF9AE}" pid="3" name="MSIP_Label_8d283cd4-40d8-4b4e-b666-5881e4d226e3_SetDate">
    <vt:lpwstr>2021-09-27T15:41:11Z</vt:lpwstr>
  </property>
  <property fmtid="{D5CDD505-2E9C-101B-9397-08002B2CF9AE}" pid="4" name="MSIP_Label_8d283cd4-40d8-4b4e-b666-5881e4d226e3_Method">
    <vt:lpwstr>Standard</vt:lpwstr>
  </property>
  <property fmtid="{D5CDD505-2E9C-101B-9397-08002B2CF9AE}" pid="5" name="MSIP_Label_8d283cd4-40d8-4b4e-b666-5881e4d226e3_Name">
    <vt:lpwstr>Public</vt:lpwstr>
  </property>
  <property fmtid="{D5CDD505-2E9C-101B-9397-08002B2CF9AE}" pid="6" name="MSIP_Label_8d283cd4-40d8-4b4e-b666-5881e4d226e3_SiteId">
    <vt:lpwstr>8b52ecaa-f734-4a0c-9b2d-ab31beeb4028</vt:lpwstr>
  </property>
  <property fmtid="{D5CDD505-2E9C-101B-9397-08002B2CF9AE}" pid="7" name="MSIP_Label_8d283cd4-40d8-4b4e-b666-5881e4d226e3_ActionId">
    <vt:lpwstr>0a5d2a0e-9289-4508-a97e-6ba462d0f5aa</vt:lpwstr>
  </property>
  <property fmtid="{D5CDD505-2E9C-101B-9397-08002B2CF9AE}" pid="8" name="MSIP_Label_8d283cd4-40d8-4b4e-b666-5881e4d226e3_ContentBits">
    <vt:lpwstr>0</vt:lpwstr>
  </property>
  <property fmtid="{D5CDD505-2E9C-101B-9397-08002B2CF9AE}" pid="9" name="ISR.DocumentVId">
    <vt:lpwstr>39d581753a1d4f03bb731e96b6b5f03b</vt:lpwstr>
  </property>
</Properties>
</file>