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4221" w:rsidRPr="00534221" w14:paraId="3B1FC54F" w14:textId="77777777" w:rsidTr="00E0048A">
        <w:tc>
          <w:tcPr>
            <w:tcW w:w="9062" w:type="dxa"/>
          </w:tcPr>
          <w:p w14:paraId="1C2B105F" w14:textId="37D77D80" w:rsidR="00031902" w:rsidRPr="00534221" w:rsidRDefault="00C67FB1" w:rsidP="00031902">
            <w:pPr>
              <w:pStyle w:val="C01Nzev"/>
              <w:rPr>
                <w:color w:val="0070C0"/>
              </w:rPr>
            </w:pPr>
            <w:r w:rsidRPr="00534221">
              <w:rPr>
                <w:color w:val="0070C0"/>
              </w:rPr>
              <w:t>Technická specifikace</w:t>
            </w:r>
          </w:p>
        </w:tc>
      </w:tr>
      <w:tr w:rsidR="00534221" w:rsidRPr="00534221" w14:paraId="76CA71C1" w14:textId="77777777" w:rsidTr="00E0048A">
        <w:tc>
          <w:tcPr>
            <w:tcW w:w="9062" w:type="dxa"/>
          </w:tcPr>
          <w:p w14:paraId="4CE13566" w14:textId="302A1A11" w:rsidR="00031902" w:rsidRPr="00534221" w:rsidRDefault="00031902" w:rsidP="00031902">
            <w:pPr>
              <w:pStyle w:val="C03Textpodnzev"/>
              <w:rPr>
                <w:color w:val="0070C0"/>
              </w:rPr>
            </w:pPr>
            <w:r w:rsidRPr="00534221">
              <w:rPr>
                <w:color w:val="0070C0"/>
              </w:rPr>
              <w:t>veřejné zakázky</w:t>
            </w:r>
            <w:r w:rsidR="002F20B2" w:rsidRPr="00534221">
              <w:rPr>
                <w:color w:val="0070C0"/>
              </w:rPr>
              <w:t xml:space="preserve"> </w:t>
            </w:r>
            <w:r w:rsidRPr="00534221">
              <w:rPr>
                <w:color w:val="0070C0"/>
              </w:rPr>
              <w:t>s názvem</w:t>
            </w:r>
          </w:p>
        </w:tc>
      </w:tr>
      <w:tr w:rsidR="00534221" w:rsidRPr="00534221" w14:paraId="383A9286" w14:textId="77777777" w:rsidTr="00E0048A">
        <w:tc>
          <w:tcPr>
            <w:tcW w:w="9062" w:type="dxa"/>
          </w:tcPr>
          <w:p w14:paraId="4F7AE1F0" w14:textId="77777777" w:rsidR="00031902" w:rsidRPr="00534221" w:rsidRDefault="00031902" w:rsidP="00031902">
            <w:pPr>
              <w:pStyle w:val="C08Tabvlevo"/>
              <w:rPr>
                <w:color w:val="0070C0"/>
              </w:rPr>
            </w:pPr>
          </w:p>
        </w:tc>
      </w:tr>
      <w:tr w:rsidR="00534221" w:rsidRPr="00534221" w14:paraId="29630CD0" w14:textId="77777777" w:rsidTr="00E0048A">
        <w:tc>
          <w:tcPr>
            <w:tcW w:w="9062" w:type="dxa"/>
          </w:tcPr>
          <w:p w14:paraId="3A13EC75" w14:textId="3E53E1C7" w:rsidR="00031902" w:rsidRPr="00534221" w:rsidRDefault="007E1004" w:rsidP="007E1004">
            <w:pPr>
              <w:pStyle w:val="C02Nzevmalmi"/>
              <w:rPr>
                <w:color w:val="0070C0"/>
              </w:rPr>
            </w:pPr>
            <w:r w:rsidRPr="00534221">
              <w:rPr>
                <w:color w:val="0070C0"/>
              </w:rPr>
              <w:t>„</w:t>
            </w:r>
            <w:r w:rsidR="00534221" w:rsidRPr="00534221">
              <w:rPr>
                <w:color w:val="0070C0"/>
              </w:rPr>
              <w:t>LF/UPOL – Doplnění vybavení Centra pro práci s laboratorními zvířaty – rozděleno na části</w:t>
            </w:r>
            <w:r w:rsidRPr="00534221">
              <w:rPr>
                <w:color w:val="0070C0"/>
              </w:rPr>
              <w:t>“</w:t>
            </w:r>
          </w:p>
        </w:tc>
      </w:tr>
      <w:tr w:rsidR="00534221" w:rsidRPr="00534221" w14:paraId="7370A032" w14:textId="77777777" w:rsidTr="00E0048A">
        <w:tc>
          <w:tcPr>
            <w:tcW w:w="9062" w:type="dxa"/>
          </w:tcPr>
          <w:p w14:paraId="339843DF" w14:textId="7CBF1DEB" w:rsidR="00031902" w:rsidRPr="00534221" w:rsidRDefault="00491F0D" w:rsidP="00534221">
            <w:pPr>
              <w:pStyle w:val="C08Tabvlevo"/>
              <w:jc w:val="center"/>
              <w:rPr>
                <w:b/>
                <w:bCs/>
                <w:color w:val="0070C0"/>
                <w:sz w:val="28"/>
                <w:szCs w:val="32"/>
              </w:rPr>
            </w:pPr>
            <w:r w:rsidRPr="00491F0D">
              <w:rPr>
                <w:b/>
                <w:bCs/>
                <w:color w:val="0070C0"/>
                <w:sz w:val="28"/>
                <w:szCs w:val="32"/>
              </w:rPr>
              <w:t>Část 3: Přístrojové vybavení pro operační sály</w:t>
            </w:r>
          </w:p>
        </w:tc>
      </w:tr>
      <w:tr w:rsidR="00534221" w:rsidRPr="00534221" w14:paraId="0300E373" w14:textId="77777777" w:rsidTr="00E0048A">
        <w:tc>
          <w:tcPr>
            <w:tcW w:w="9062" w:type="dxa"/>
          </w:tcPr>
          <w:p w14:paraId="0AFC1010" w14:textId="77777777" w:rsidR="00534221" w:rsidRPr="00534221" w:rsidRDefault="00534221" w:rsidP="00031902">
            <w:pPr>
              <w:pStyle w:val="C08Tabvlevo"/>
              <w:rPr>
                <w:color w:val="0070C0"/>
              </w:rPr>
            </w:pPr>
          </w:p>
        </w:tc>
      </w:tr>
    </w:tbl>
    <w:p w14:paraId="7D23FB41" w14:textId="7ECC737F" w:rsidR="00112B3F" w:rsidRPr="00534221" w:rsidRDefault="001304F2" w:rsidP="001304F2">
      <w:pPr>
        <w:pStyle w:val="A01lnek"/>
        <w:rPr>
          <w:color w:val="0070C0"/>
        </w:rPr>
      </w:pPr>
      <w:r w:rsidRPr="00534221">
        <w:rPr>
          <w:color w:val="0070C0"/>
        </w:rPr>
        <w:t>Po</w:t>
      </w:r>
      <w:r w:rsidR="00011ACC" w:rsidRPr="00534221">
        <w:rPr>
          <w:color w:val="0070C0"/>
        </w:rPr>
        <w:t xml:space="preserve">pis předmětu </w:t>
      </w:r>
      <w:r w:rsidR="00534221">
        <w:rPr>
          <w:color w:val="0070C0"/>
        </w:rPr>
        <w:t xml:space="preserve">části </w:t>
      </w:r>
      <w:r w:rsidR="00011ACC" w:rsidRPr="00534221">
        <w:rPr>
          <w:color w:val="0070C0"/>
        </w:rPr>
        <w:t>Veřejné zakázky</w:t>
      </w:r>
    </w:p>
    <w:p w14:paraId="582461ED" w14:textId="13B6522A" w:rsidR="00175ACE" w:rsidRPr="00175ACE" w:rsidRDefault="00175ACE" w:rsidP="00175ACE">
      <w:pPr>
        <w:pStyle w:val="Odstavecseseznamem"/>
        <w:spacing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Součástí dodávky je doprava</w:t>
      </w:r>
      <w:r w:rsidRPr="00175ACE">
        <w:rPr>
          <w:rFonts w:ascii="Arial" w:hAnsi="Arial" w:cs="Arial"/>
        </w:rPr>
        <w:t xml:space="preserve"> do místa plnění a odborné instalace</w:t>
      </w:r>
      <w:r w:rsidR="007A7CA4">
        <w:rPr>
          <w:rFonts w:ascii="Arial" w:hAnsi="Arial" w:cs="Arial"/>
        </w:rPr>
        <w:t>,</w:t>
      </w:r>
      <w:r w:rsidRPr="00175ACE">
        <w:rPr>
          <w:rFonts w:ascii="Arial" w:hAnsi="Arial" w:cs="Arial"/>
        </w:rPr>
        <w:t xml:space="preserve"> zaškolení obsluhy</w:t>
      </w:r>
      <w:r w:rsidR="007A7CA4">
        <w:rPr>
          <w:rFonts w:ascii="Arial" w:hAnsi="Arial" w:cs="Arial"/>
        </w:rPr>
        <w:t xml:space="preserve"> a předložení manuálu ke každému z přístrojů v českém nebo anglickém jazyce</w:t>
      </w:r>
      <w:r w:rsidRPr="00175ACE">
        <w:rPr>
          <w:rFonts w:ascii="Arial" w:hAnsi="Arial" w:cs="Arial"/>
        </w:rPr>
        <w:t>.</w:t>
      </w:r>
    </w:p>
    <w:p w14:paraId="06CD9D30" w14:textId="77777777" w:rsidR="00175ACE" w:rsidRPr="00175ACE" w:rsidRDefault="00175ACE" w:rsidP="007A7CA4">
      <w:pPr>
        <w:pStyle w:val="Odstavecseseznamem"/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  <w:b/>
          <w:bCs/>
        </w:rPr>
        <w:t>1 kus</w:t>
      </w:r>
      <w:r w:rsidRPr="00175ACE">
        <w:rPr>
          <w:rFonts w:ascii="Arial" w:hAnsi="Arial" w:cs="Arial"/>
        </w:rPr>
        <w:t xml:space="preserve"> – anesteziologický přístroj pro klinickou anestezii hlodavců a malých laboratorních zvířat (myš, potkan, morče, králík)</w:t>
      </w:r>
    </w:p>
    <w:p w14:paraId="1913F6FB" w14:textId="77777777" w:rsidR="00175ACE" w:rsidRPr="00175ACE" w:rsidRDefault="00175ACE" w:rsidP="007A7CA4">
      <w:pPr>
        <w:pStyle w:val="Odstavecseseznamem"/>
        <w:numPr>
          <w:ilvl w:val="0"/>
          <w:numId w:val="1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Určení: pro zvířata do 10 kg.</w:t>
      </w:r>
    </w:p>
    <w:p w14:paraId="2DF6CC08" w14:textId="77777777" w:rsidR="00175ACE" w:rsidRPr="00175ACE" w:rsidRDefault="00175ACE" w:rsidP="007A7CA4">
      <w:pPr>
        <w:pStyle w:val="Odstavecseseznamem"/>
        <w:numPr>
          <w:ilvl w:val="0"/>
          <w:numId w:val="1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Okruhy: okruh se zpětným vdechováním i okruh bez zpětného vdechování.</w:t>
      </w:r>
    </w:p>
    <w:p w14:paraId="6FFE285E" w14:textId="77777777" w:rsidR="00175ACE" w:rsidRPr="00175ACE" w:rsidRDefault="00175ACE" w:rsidP="007A7CA4">
      <w:pPr>
        <w:pStyle w:val="Odstavecseseznamem"/>
        <w:numPr>
          <w:ilvl w:val="0"/>
          <w:numId w:val="1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Kompenzace: systém automatické kompenzace průtoku, tlaku a teploty.</w:t>
      </w:r>
    </w:p>
    <w:p w14:paraId="045F99B6" w14:textId="77777777" w:rsidR="00175ACE" w:rsidRPr="00175ACE" w:rsidRDefault="00175ACE" w:rsidP="007A7CA4">
      <w:pPr>
        <w:pStyle w:val="Odstavecseseznamem"/>
        <w:numPr>
          <w:ilvl w:val="0"/>
          <w:numId w:val="1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Výparník:</w:t>
      </w:r>
    </w:p>
    <w:p w14:paraId="62987C75" w14:textId="77777777" w:rsidR="00175ACE" w:rsidRPr="00175ACE" w:rsidRDefault="00175ACE" w:rsidP="007A7CA4">
      <w:pPr>
        <w:pStyle w:val="Odstavecseseznamem"/>
        <w:numPr>
          <w:ilvl w:val="0"/>
          <w:numId w:val="15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typ: Isofluran,</w:t>
      </w:r>
    </w:p>
    <w:p w14:paraId="0EEB8E31" w14:textId="77777777" w:rsidR="00175ACE" w:rsidRPr="00175ACE" w:rsidRDefault="00175ACE" w:rsidP="007A7CA4">
      <w:pPr>
        <w:pStyle w:val="Odstavecseseznamem"/>
        <w:numPr>
          <w:ilvl w:val="0"/>
          <w:numId w:val="15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provozní teploty: 10–35 °C,</w:t>
      </w:r>
    </w:p>
    <w:p w14:paraId="7DBAA0AC" w14:textId="77777777" w:rsidR="00175ACE" w:rsidRPr="00175ACE" w:rsidRDefault="00175ACE" w:rsidP="007A7CA4">
      <w:pPr>
        <w:pStyle w:val="Odstavecseseznamem"/>
        <w:numPr>
          <w:ilvl w:val="0"/>
          <w:numId w:val="15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koncentrace odpařování: 0–5 %,</w:t>
      </w:r>
    </w:p>
    <w:p w14:paraId="7BB2F37F" w14:textId="77777777" w:rsidR="00175ACE" w:rsidRPr="00175ACE" w:rsidRDefault="00175ACE" w:rsidP="007A7CA4">
      <w:pPr>
        <w:pStyle w:val="Odstavecseseznamem"/>
        <w:numPr>
          <w:ilvl w:val="0"/>
          <w:numId w:val="15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systém plnění: „key-fill“ (bezpečnostní plnění).</w:t>
      </w:r>
    </w:p>
    <w:p w14:paraId="1B3449A6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Průtok a tlak:</w:t>
      </w:r>
    </w:p>
    <w:p w14:paraId="3FFA182E" w14:textId="77777777" w:rsidR="00175ACE" w:rsidRPr="00175ACE" w:rsidRDefault="00175ACE" w:rsidP="007A7CA4">
      <w:pPr>
        <w:pStyle w:val="Odstavecseseznamem"/>
        <w:numPr>
          <w:ilvl w:val="0"/>
          <w:numId w:val="17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pracovního průtoku: 0,2–10 l/min,</w:t>
      </w:r>
    </w:p>
    <w:p w14:paraId="787E835C" w14:textId="77777777" w:rsidR="00175ACE" w:rsidRPr="00175ACE" w:rsidRDefault="00175ACE" w:rsidP="007A7CA4">
      <w:pPr>
        <w:pStyle w:val="Odstavecseseznamem"/>
        <w:numPr>
          <w:ilvl w:val="0"/>
          <w:numId w:val="17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kolísání výstupního tlaku: P ≤ 2,5 kPa,</w:t>
      </w:r>
    </w:p>
    <w:p w14:paraId="28825AC8" w14:textId="77777777" w:rsidR="00175ACE" w:rsidRPr="00175ACE" w:rsidRDefault="00175ACE" w:rsidP="007A7CA4">
      <w:pPr>
        <w:pStyle w:val="Odstavecseseznamem"/>
        <w:numPr>
          <w:ilvl w:val="0"/>
          <w:numId w:val="17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průtokoměru kyslíku (O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>): 0–4 l/min.</w:t>
      </w:r>
    </w:p>
    <w:p w14:paraId="2BE175F6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Technické parametry:</w:t>
      </w:r>
    </w:p>
    <w:p w14:paraId="037726E7" w14:textId="77777777" w:rsidR="00175ACE" w:rsidRPr="00175ACE" w:rsidRDefault="00175ACE" w:rsidP="007A7CA4">
      <w:pPr>
        <w:pStyle w:val="Odstavecseseznamem"/>
        <w:numPr>
          <w:ilvl w:val="0"/>
          <w:numId w:val="18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konektor pro přívod vzduchu: 9/16" zásuvný konektor,</w:t>
      </w:r>
    </w:p>
    <w:p w14:paraId="0D1C18CE" w14:textId="77777777" w:rsidR="00175ACE" w:rsidRPr="00175ACE" w:rsidRDefault="00175ACE" w:rsidP="007A7CA4">
      <w:pPr>
        <w:pStyle w:val="Odstavecseseznamem"/>
        <w:numPr>
          <w:ilvl w:val="0"/>
          <w:numId w:val="18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funkce rychlého proplachu O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 xml:space="preserve"> (O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 xml:space="preserve"> flush),</w:t>
      </w:r>
    </w:p>
    <w:p w14:paraId="09F042BF" w14:textId="77777777" w:rsidR="00175ACE" w:rsidRPr="00175ACE" w:rsidRDefault="00175ACE" w:rsidP="007A7CA4">
      <w:pPr>
        <w:pStyle w:val="Odstavecseseznamem"/>
        <w:numPr>
          <w:ilvl w:val="0"/>
          <w:numId w:val="18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integrovaný absorbér CO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>,</w:t>
      </w:r>
    </w:p>
    <w:p w14:paraId="613D5DCB" w14:textId="77777777" w:rsidR="00175ACE" w:rsidRPr="00175ACE" w:rsidRDefault="00175ACE" w:rsidP="007A7CA4">
      <w:pPr>
        <w:pStyle w:val="Odstavecseseznamem"/>
        <w:numPr>
          <w:ilvl w:val="0"/>
          <w:numId w:val="18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dýchací vak o objemu 0,5 litru,</w:t>
      </w:r>
    </w:p>
    <w:p w14:paraId="0A442EBC" w14:textId="77777777" w:rsidR="00175ACE" w:rsidRPr="00175ACE" w:rsidRDefault="00175ACE" w:rsidP="007A7CA4">
      <w:pPr>
        <w:pStyle w:val="Odstavecseseznamem"/>
        <w:numPr>
          <w:ilvl w:val="0"/>
          <w:numId w:val="18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lastRenderedPageBreak/>
        <w:t>indikace tlaku v dýchacím okruhu v rozsahu -20 až +100 cm H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>O,</w:t>
      </w:r>
    </w:p>
    <w:p w14:paraId="74C18AAE" w14:textId="77777777" w:rsidR="00175ACE" w:rsidRPr="00175ACE" w:rsidRDefault="00175ACE" w:rsidP="007A7CA4">
      <w:pPr>
        <w:pStyle w:val="Odstavecseseznamem"/>
        <w:numPr>
          <w:ilvl w:val="0"/>
          <w:numId w:val="18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osazení nastavitelným ventilem APL (popouštěcí ventil).</w:t>
      </w:r>
    </w:p>
    <w:p w14:paraId="3FF231BE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Konstrukce: police pro základnu, mobilní základna (stojan) s kolečky.</w:t>
      </w:r>
    </w:p>
    <w:p w14:paraId="496B1BAB" w14:textId="77777777" w:rsidR="00175ACE" w:rsidRPr="00175ACE" w:rsidRDefault="00175ACE" w:rsidP="007A7CA4">
      <w:pPr>
        <w:pStyle w:val="Odstavecseseznamem"/>
        <w:spacing w:line="360" w:lineRule="auto"/>
        <w:ind w:left="567" w:hanging="283"/>
        <w:jc w:val="both"/>
        <w:rPr>
          <w:rFonts w:ascii="Arial" w:hAnsi="Arial" w:cs="Arial"/>
        </w:rPr>
      </w:pPr>
    </w:p>
    <w:p w14:paraId="2D113A33" w14:textId="77777777" w:rsidR="00175ACE" w:rsidRPr="00175ACE" w:rsidRDefault="00175ACE" w:rsidP="007A7CA4">
      <w:pPr>
        <w:pStyle w:val="Odstavecseseznamem"/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  <w:b/>
          <w:bCs/>
        </w:rPr>
        <w:t>1 kus</w:t>
      </w:r>
      <w:r w:rsidRPr="00175ACE">
        <w:rPr>
          <w:rFonts w:ascii="Arial" w:hAnsi="Arial" w:cs="Arial"/>
        </w:rPr>
        <w:t xml:space="preserve"> – generátor kyslíku (koncentrátor):</w:t>
      </w:r>
    </w:p>
    <w:p w14:paraId="08F29085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Hlučnost: maximálně 45 dBA (při 50 Hz),</w:t>
      </w:r>
    </w:p>
    <w:p w14:paraId="5C9EF78F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Průtok: nastavitelný v rozsahu 0,5–5 l/min,</w:t>
      </w:r>
    </w:p>
    <w:p w14:paraId="598C2075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Koncentrace kyslíku: 93 % ± 3 % (při průtoku 0,5–5 l/min),</w:t>
      </w:r>
    </w:p>
    <w:p w14:paraId="6FC61DD7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Napájení: 230 V / 50 Hz,</w:t>
      </w:r>
    </w:p>
    <w:p w14:paraId="1E73AC2E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Výstupní tlak: 58,6 kPa.</w:t>
      </w:r>
    </w:p>
    <w:p w14:paraId="56A129EA" w14:textId="77777777" w:rsidR="00175ACE" w:rsidRPr="00175ACE" w:rsidRDefault="00175ACE" w:rsidP="007A7CA4">
      <w:pPr>
        <w:pStyle w:val="Odstavecseseznamem"/>
        <w:numPr>
          <w:ilvl w:val="0"/>
          <w:numId w:val="1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Příslušenství: Součástí dodávky je vysokotlaká propojovací hadice o délce min. 2 metry pro přímé propojení s anesteziologickým přístrojem, zakončená kompatibilními koncovkami (standard NIST nebo 9/16" dle specifikace anesteziologického přístroje).</w:t>
      </w:r>
    </w:p>
    <w:p w14:paraId="7FD1E19A" w14:textId="77777777" w:rsidR="00175ACE" w:rsidRPr="00175ACE" w:rsidRDefault="00175ACE" w:rsidP="007A7CA4">
      <w:pPr>
        <w:pStyle w:val="Odstavecseseznamem"/>
        <w:spacing w:line="360" w:lineRule="auto"/>
        <w:ind w:left="567" w:hanging="283"/>
        <w:jc w:val="both"/>
        <w:rPr>
          <w:rFonts w:ascii="Arial" w:hAnsi="Arial" w:cs="Arial"/>
        </w:rPr>
      </w:pPr>
    </w:p>
    <w:p w14:paraId="31C8CADB" w14:textId="77777777" w:rsidR="00175ACE" w:rsidRPr="00175ACE" w:rsidRDefault="00175ACE" w:rsidP="007A7CA4">
      <w:pPr>
        <w:pStyle w:val="Odstavecseseznamem"/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  <w:b/>
          <w:bCs/>
        </w:rPr>
        <w:t>1 kus</w:t>
      </w:r>
      <w:r w:rsidRPr="00175ACE">
        <w:rPr>
          <w:rFonts w:ascii="Arial" w:hAnsi="Arial" w:cs="Arial"/>
        </w:rPr>
        <w:t xml:space="preserve"> – elektrochirurgický kauter (elektrokauter):</w:t>
      </w:r>
    </w:p>
    <w:p w14:paraId="7F1AFB69" w14:textId="77777777" w:rsidR="00175ACE" w:rsidRPr="00175ACE" w:rsidRDefault="00175ACE" w:rsidP="007A7CA4">
      <w:pPr>
        <w:pStyle w:val="Odstavecseseznamem"/>
        <w:numPr>
          <w:ilvl w:val="0"/>
          <w:numId w:val="19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Určení: veterinární provedení.</w:t>
      </w:r>
    </w:p>
    <w:p w14:paraId="492BF2C4" w14:textId="77777777" w:rsidR="00175ACE" w:rsidRPr="00175ACE" w:rsidRDefault="00175ACE" w:rsidP="007A7CA4">
      <w:pPr>
        <w:pStyle w:val="Odstavecseseznamem"/>
        <w:numPr>
          <w:ilvl w:val="0"/>
          <w:numId w:val="19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Řízení: mikroprocesorem řízená ekonomická jednotka.</w:t>
      </w:r>
    </w:p>
    <w:p w14:paraId="360D1A5A" w14:textId="77777777" w:rsidR="00175ACE" w:rsidRPr="00175ACE" w:rsidRDefault="00175ACE" w:rsidP="007A7CA4">
      <w:pPr>
        <w:pStyle w:val="Odstavecseseznamem"/>
        <w:numPr>
          <w:ilvl w:val="0"/>
          <w:numId w:val="19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Výkon: maximální výstupní výkon 150 W.</w:t>
      </w:r>
    </w:p>
    <w:p w14:paraId="2FB8BDAC" w14:textId="77777777" w:rsidR="00175ACE" w:rsidRPr="00175ACE" w:rsidRDefault="00175ACE" w:rsidP="007A7CA4">
      <w:pPr>
        <w:pStyle w:val="Odstavecseseznamem"/>
        <w:numPr>
          <w:ilvl w:val="0"/>
          <w:numId w:val="19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Provozní režimy (5 režimů):</w:t>
      </w:r>
    </w:p>
    <w:p w14:paraId="5D513431" w14:textId="77777777" w:rsidR="00175ACE" w:rsidRPr="00175ACE" w:rsidRDefault="00175ACE" w:rsidP="007A7CA4">
      <w:pPr>
        <w:pStyle w:val="Odstavecseseznamem"/>
        <w:numPr>
          <w:ilvl w:val="0"/>
          <w:numId w:val="20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Pure CUT (čistý řez): 150 W / 500 Ω, faktor 1,5,</w:t>
      </w:r>
    </w:p>
    <w:p w14:paraId="0F4C2B4C" w14:textId="77777777" w:rsidR="00175ACE" w:rsidRPr="00175ACE" w:rsidRDefault="00175ACE" w:rsidP="007A7CA4">
      <w:pPr>
        <w:pStyle w:val="Odstavecseseznamem"/>
        <w:numPr>
          <w:ilvl w:val="0"/>
          <w:numId w:val="20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Blend CUT (smíšený řez): 120 W / 500 Ω, faktor 1,9,</w:t>
      </w:r>
    </w:p>
    <w:p w14:paraId="7825C0DF" w14:textId="77777777" w:rsidR="00175ACE" w:rsidRPr="00175ACE" w:rsidRDefault="00175ACE" w:rsidP="007A7CA4">
      <w:pPr>
        <w:pStyle w:val="Odstavecseseznamem"/>
        <w:numPr>
          <w:ilvl w:val="0"/>
          <w:numId w:val="20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Soft COAG (měkká koagulace): 100 W / 300 Ω, faktor 1,5,</w:t>
      </w:r>
    </w:p>
    <w:p w14:paraId="5B65290A" w14:textId="77777777" w:rsidR="00175ACE" w:rsidRPr="00175ACE" w:rsidRDefault="00175ACE" w:rsidP="007A7CA4">
      <w:pPr>
        <w:pStyle w:val="Odstavecseseznamem"/>
        <w:numPr>
          <w:ilvl w:val="0"/>
          <w:numId w:val="20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Forced COAG (vynucená koagulace): 70 W / 500 Ω, faktor 2,4,</w:t>
      </w:r>
    </w:p>
    <w:p w14:paraId="52E4528D" w14:textId="77777777" w:rsidR="00175ACE" w:rsidRPr="00175ACE" w:rsidRDefault="00175ACE" w:rsidP="007A7CA4">
      <w:pPr>
        <w:pStyle w:val="Odstavecseseznamem"/>
        <w:numPr>
          <w:ilvl w:val="0"/>
          <w:numId w:val="20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Bipolární COAG (bipolární koagulace): 100 W / 50 Ω, faktor 1,5.</w:t>
      </w:r>
    </w:p>
    <w:p w14:paraId="1C3FD6F9" w14:textId="77777777" w:rsidR="00175ACE" w:rsidRPr="00175ACE" w:rsidRDefault="00175ACE" w:rsidP="007A7CA4">
      <w:pPr>
        <w:pStyle w:val="Odstavecseseznamem"/>
        <w:numPr>
          <w:ilvl w:val="0"/>
          <w:numId w:val="2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Nastavení: nezávislá regulace výkonu pro každý režim.</w:t>
      </w:r>
    </w:p>
    <w:p w14:paraId="5826C993" w14:textId="77777777" w:rsidR="00175ACE" w:rsidRPr="00175ACE" w:rsidRDefault="00175ACE" w:rsidP="007A7CA4">
      <w:pPr>
        <w:pStyle w:val="Odstavecseseznamem"/>
        <w:numPr>
          <w:ilvl w:val="0"/>
          <w:numId w:val="2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Frekvence:</w:t>
      </w:r>
    </w:p>
    <w:p w14:paraId="630FF24E" w14:textId="77777777" w:rsidR="00175ACE" w:rsidRPr="00175ACE" w:rsidRDefault="00175ACE" w:rsidP="007A7CA4">
      <w:pPr>
        <w:pStyle w:val="Odstavecseseznamem"/>
        <w:numPr>
          <w:ilvl w:val="0"/>
          <w:numId w:val="22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pracovní frekvence: 375 kHz,</w:t>
      </w:r>
    </w:p>
    <w:p w14:paraId="75CF755F" w14:textId="77777777" w:rsidR="00175ACE" w:rsidRPr="00175ACE" w:rsidRDefault="00175ACE" w:rsidP="007A7CA4">
      <w:pPr>
        <w:pStyle w:val="Odstavecseseznamem"/>
        <w:numPr>
          <w:ilvl w:val="0"/>
          <w:numId w:val="22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modulační frekvence: 25 kHz.</w:t>
      </w:r>
    </w:p>
    <w:p w14:paraId="32D6B1F4" w14:textId="77777777" w:rsidR="00175ACE" w:rsidRPr="00175ACE" w:rsidRDefault="00175ACE" w:rsidP="007A7CA4">
      <w:pPr>
        <w:pStyle w:val="Odstavecseseznamem"/>
        <w:numPr>
          <w:ilvl w:val="0"/>
          <w:numId w:val="23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Funkce a bezpečnost:</w:t>
      </w:r>
    </w:p>
    <w:p w14:paraId="71759B9B" w14:textId="77777777" w:rsidR="00175ACE" w:rsidRPr="00175ACE" w:rsidRDefault="00175ACE" w:rsidP="007A7CA4">
      <w:pPr>
        <w:pStyle w:val="Odstavecseseznamem"/>
        <w:numPr>
          <w:ilvl w:val="0"/>
          <w:numId w:val="2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digitální paměť pro uložení posledního nastavení výkonu,</w:t>
      </w:r>
    </w:p>
    <w:p w14:paraId="47DF6B77" w14:textId="77777777" w:rsidR="00175ACE" w:rsidRPr="00175ACE" w:rsidRDefault="00175ACE" w:rsidP="007A7CA4">
      <w:pPr>
        <w:pStyle w:val="Odstavecseseznamem"/>
        <w:numPr>
          <w:ilvl w:val="0"/>
          <w:numId w:val="2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senzory přehřátí (OH) a výpadku napájení (PF),</w:t>
      </w:r>
    </w:p>
    <w:p w14:paraId="612A8C45" w14:textId="77777777" w:rsidR="00175ACE" w:rsidRPr="00175ACE" w:rsidRDefault="00175ACE" w:rsidP="007A7CA4">
      <w:pPr>
        <w:pStyle w:val="Odstavecseseznamem"/>
        <w:numPr>
          <w:ilvl w:val="0"/>
          <w:numId w:val="2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stavový monitor na předním panelu,</w:t>
      </w:r>
    </w:p>
    <w:p w14:paraId="38541D51" w14:textId="77777777" w:rsidR="00175ACE" w:rsidRPr="00175ACE" w:rsidRDefault="00175ACE" w:rsidP="007A7CA4">
      <w:pPr>
        <w:pStyle w:val="Odstavecseseznamem"/>
        <w:numPr>
          <w:ilvl w:val="0"/>
          <w:numId w:val="2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funkce automatického a okamžitého ukončení výkonu v případě chyby,</w:t>
      </w:r>
    </w:p>
    <w:p w14:paraId="0DF575A2" w14:textId="77777777" w:rsidR="00175ACE" w:rsidRPr="00175ACE" w:rsidRDefault="00175ACE" w:rsidP="007A7CA4">
      <w:pPr>
        <w:pStyle w:val="Odstavecseseznamem"/>
        <w:numPr>
          <w:ilvl w:val="0"/>
          <w:numId w:val="24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zvukový alarm při překročení limitních parametrů.</w:t>
      </w:r>
    </w:p>
    <w:p w14:paraId="1CAE8D16" w14:textId="77777777" w:rsidR="00175ACE" w:rsidRDefault="00175ACE" w:rsidP="007A7CA4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07042CA2" w14:textId="77777777" w:rsidR="007A7CA4" w:rsidRDefault="007A7CA4" w:rsidP="007A7CA4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5ECB8D2B" w14:textId="77777777" w:rsidR="007A7CA4" w:rsidRPr="00175ACE" w:rsidRDefault="007A7CA4" w:rsidP="007A7CA4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6F675889" w14:textId="77777777" w:rsidR="00175ACE" w:rsidRPr="00175ACE" w:rsidRDefault="00175ACE" w:rsidP="007A7CA4">
      <w:pPr>
        <w:pStyle w:val="Odstavecseseznamem"/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  <w:b/>
          <w:bCs/>
        </w:rPr>
        <w:lastRenderedPageBreak/>
        <w:t>1 kus</w:t>
      </w:r>
      <w:r w:rsidRPr="00175ACE">
        <w:rPr>
          <w:rFonts w:ascii="Arial" w:hAnsi="Arial" w:cs="Arial"/>
        </w:rPr>
        <w:t xml:space="preserve"> – monitor životních funkcí</w:t>
      </w:r>
    </w:p>
    <w:p w14:paraId="6ABC6DE9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Určení: veterinární provedení.</w:t>
      </w:r>
    </w:p>
    <w:p w14:paraId="59D18472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Měřené parametry: EKG (3svodové), SpO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 xml:space="preserve"> (pulzní oxymetrie), tepová frekvence (PR), NIBP (neinvazivní krevní tlak), etCO</w:t>
      </w:r>
      <w:r w:rsidRPr="00175ACE">
        <w:rPr>
          <w:rFonts w:ascii="Cambria Math" w:hAnsi="Cambria Math" w:cs="Cambria Math"/>
        </w:rPr>
        <w:t>₂</w:t>
      </w:r>
      <w:r w:rsidRPr="00175ACE">
        <w:rPr>
          <w:rFonts w:ascii="Arial" w:hAnsi="Arial" w:cs="Arial"/>
        </w:rPr>
        <w:t xml:space="preserve"> (kapnometrie), tělesná teplota a dechová frekvence (RR).</w:t>
      </w:r>
    </w:p>
    <w:p w14:paraId="55D2EC78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Technické parametry pro laboratorní hlodavce:</w:t>
      </w:r>
    </w:p>
    <w:p w14:paraId="17C69661" w14:textId="77777777" w:rsidR="00175ACE" w:rsidRPr="00175ACE" w:rsidRDefault="00175ACE" w:rsidP="007A7CA4">
      <w:pPr>
        <w:pStyle w:val="Odstavecseseznamem"/>
        <w:numPr>
          <w:ilvl w:val="0"/>
          <w:numId w:val="27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měření tepové frekvence (PR): minimálně do 350 bpm,</w:t>
      </w:r>
    </w:p>
    <w:p w14:paraId="3883D876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rozsah měření dechové frekvence (RR): minimálně do 150 brpm,</w:t>
      </w:r>
    </w:p>
    <w:p w14:paraId="3513FCD0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Displej: barevný LCD/TFT displej o úhlopříčce minimálně 12,1 palce.</w:t>
      </w:r>
    </w:p>
    <w:p w14:paraId="5AD67826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Napájení:</w:t>
      </w:r>
    </w:p>
    <w:p w14:paraId="70CC39AC" w14:textId="77777777" w:rsidR="00175ACE" w:rsidRPr="00175ACE" w:rsidRDefault="00175ACE" w:rsidP="007A7CA4">
      <w:pPr>
        <w:pStyle w:val="Odstavecseseznamem"/>
        <w:numPr>
          <w:ilvl w:val="0"/>
          <w:numId w:val="25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integrovaná Li-ion baterie s dobou provozu minimálně 8 hodin,</w:t>
      </w:r>
    </w:p>
    <w:p w14:paraId="65CD5C97" w14:textId="77777777" w:rsidR="00175ACE" w:rsidRPr="00175ACE" w:rsidRDefault="00175ACE" w:rsidP="007A7CA4">
      <w:pPr>
        <w:pStyle w:val="Odstavecseseznamem"/>
        <w:numPr>
          <w:ilvl w:val="0"/>
          <w:numId w:val="25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síťové napájení 100–240 V, 50/60 Hz.</w:t>
      </w:r>
    </w:p>
    <w:p w14:paraId="1265F648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Rozšiřitelnost: softwarová i hardwarová podpora pro rozšíření na 5svodové EKG.</w:t>
      </w:r>
    </w:p>
    <w:p w14:paraId="6CA5F16F" w14:textId="77777777" w:rsidR="00175ACE" w:rsidRPr="00175ACE" w:rsidRDefault="00175ACE" w:rsidP="007A7CA4">
      <w:pPr>
        <w:pStyle w:val="Odstavecseseznamem"/>
        <w:numPr>
          <w:ilvl w:val="0"/>
          <w:numId w:val="11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Příslušenství: Součástí dodávky je kompletní sada kabeláže a senzorů odpovídajících velikosti cílových zvířat (hlodavci, králíci).</w:t>
      </w:r>
    </w:p>
    <w:p w14:paraId="352C21E4" w14:textId="77777777" w:rsidR="00175ACE" w:rsidRPr="00175ACE" w:rsidRDefault="00175ACE" w:rsidP="007A7CA4">
      <w:pPr>
        <w:pStyle w:val="Odstavecseseznamem"/>
        <w:spacing w:line="360" w:lineRule="auto"/>
        <w:ind w:left="567" w:hanging="283"/>
        <w:jc w:val="both"/>
        <w:rPr>
          <w:rFonts w:ascii="Arial" w:hAnsi="Arial" w:cs="Arial"/>
        </w:rPr>
      </w:pPr>
    </w:p>
    <w:p w14:paraId="791CF753" w14:textId="77777777" w:rsidR="00175ACE" w:rsidRPr="00175ACE" w:rsidRDefault="00175ACE" w:rsidP="007A7CA4">
      <w:pPr>
        <w:pStyle w:val="Odstavecseseznamem"/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  <w:b/>
          <w:bCs/>
        </w:rPr>
        <w:t>1 kus</w:t>
      </w:r>
      <w:r w:rsidRPr="00175ACE">
        <w:rPr>
          <w:rFonts w:ascii="Arial" w:hAnsi="Arial" w:cs="Arial"/>
        </w:rPr>
        <w:t xml:space="preserve"> – vyhřívací podložka (termoregulační):</w:t>
      </w:r>
    </w:p>
    <w:p w14:paraId="674920A3" w14:textId="77777777" w:rsidR="00175ACE" w:rsidRPr="00175ACE" w:rsidRDefault="00175ACE" w:rsidP="007A7CA4">
      <w:pPr>
        <w:pStyle w:val="Odstavecseseznamem"/>
        <w:numPr>
          <w:ilvl w:val="0"/>
          <w:numId w:val="2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Funkce: možnost nastavení času ohřevu, cílové teploty a režimu kontinuálního (průběžného) vyhřívání.</w:t>
      </w:r>
    </w:p>
    <w:p w14:paraId="7B760639" w14:textId="77777777" w:rsidR="00175ACE" w:rsidRPr="00175ACE" w:rsidRDefault="00175ACE" w:rsidP="007A7CA4">
      <w:pPr>
        <w:pStyle w:val="Odstavecseseznamem"/>
        <w:numPr>
          <w:ilvl w:val="0"/>
          <w:numId w:val="2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Regulace teploty: nastavitelný rozsah minimálně 30 °C až 42 °C.</w:t>
      </w:r>
    </w:p>
    <w:p w14:paraId="79D99FF4" w14:textId="77777777" w:rsidR="00175ACE" w:rsidRPr="00CB691D" w:rsidRDefault="00175ACE" w:rsidP="007A7CA4">
      <w:pPr>
        <w:pStyle w:val="Odstavecseseznamem"/>
        <w:numPr>
          <w:ilvl w:val="0"/>
          <w:numId w:val="26"/>
        </w:numPr>
        <w:spacing w:line="360" w:lineRule="auto"/>
        <w:ind w:left="851" w:hanging="283"/>
        <w:jc w:val="both"/>
        <w:rPr>
          <w:rFonts w:ascii="Arial" w:hAnsi="Arial" w:cs="Arial"/>
          <w:highlight w:val="yellow"/>
        </w:rPr>
      </w:pPr>
      <w:r w:rsidRPr="00CB691D">
        <w:rPr>
          <w:rFonts w:ascii="Arial" w:hAnsi="Arial" w:cs="Arial"/>
          <w:highlight w:val="yellow"/>
        </w:rPr>
        <w:t>Rozměry: přibližně 80 × 55 cm.</w:t>
      </w:r>
    </w:p>
    <w:p w14:paraId="2CDA5F89" w14:textId="77777777" w:rsidR="00175ACE" w:rsidRPr="00175ACE" w:rsidRDefault="00175ACE" w:rsidP="007A7CA4">
      <w:pPr>
        <w:pStyle w:val="Odstavecseseznamem"/>
        <w:numPr>
          <w:ilvl w:val="0"/>
          <w:numId w:val="2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Povrchová úprava: snímatelný a pratelný potah z absorpční látky (mikrovlákno), zajištěný proti posunu suchým zipem.</w:t>
      </w:r>
    </w:p>
    <w:p w14:paraId="56BB6CC2" w14:textId="6F31FBFE" w:rsidR="00243AA3" w:rsidRPr="00175ACE" w:rsidRDefault="00175ACE" w:rsidP="007A7CA4">
      <w:pPr>
        <w:pStyle w:val="Odstavecseseznamem"/>
        <w:numPr>
          <w:ilvl w:val="0"/>
          <w:numId w:val="26"/>
        </w:numPr>
        <w:spacing w:line="360" w:lineRule="auto"/>
        <w:ind w:left="851" w:hanging="283"/>
        <w:jc w:val="both"/>
        <w:rPr>
          <w:rFonts w:ascii="Arial" w:hAnsi="Arial" w:cs="Arial"/>
        </w:rPr>
      </w:pPr>
      <w:r w:rsidRPr="00175ACE">
        <w:rPr>
          <w:rFonts w:ascii="Arial" w:hAnsi="Arial" w:cs="Arial"/>
        </w:rPr>
        <w:t>Bezpečnost: integrovaná ochrana proti přehřátí.</w:t>
      </w:r>
    </w:p>
    <w:sectPr w:rsidR="00243AA3" w:rsidRPr="00175ACE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88C7" w14:textId="77777777" w:rsidR="00336DEF" w:rsidRDefault="00336DEF" w:rsidP="00F15613">
      <w:pPr>
        <w:spacing w:line="240" w:lineRule="auto"/>
      </w:pPr>
      <w:r>
        <w:separator/>
      </w:r>
    </w:p>
  </w:endnote>
  <w:endnote w:type="continuationSeparator" w:id="0">
    <w:p w14:paraId="0BF78D70" w14:textId="77777777" w:rsidR="00336DEF" w:rsidRDefault="00336DEF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C6A0" w14:textId="77777777" w:rsidR="00336DEF" w:rsidRDefault="00336DEF" w:rsidP="00F15613">
      <w:pPr>
        <w:spacing w:line="240" w:lineRule="auto"/>
      </w:pPr>
      <w:r>
        <w:separator/>
      </w:r>
    </w:p>
  </w:footnote>
  <w:footnote w:type="continuationSeparator" w:id="0">
    <w:p w14:paraId="5514EB29" w14:textId="77777777" w:rsidR="00336DEF" w:rsidRDefault="00336DEF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06A" w14:textId="77777777" w:rsidR="00534221" w:rsidRDefault="00534221" w:rsidP="00534221">
    <w:pPr>
      <w:pStyle w:val="Zhlav"/>
      <w:jc w:val="center"/>
    </w:pPr>
    <w:r w:rsidRPr="0075756C">
      <w:rPr>
        <w:noProof/>
      </w:rPr>
      <w:drawing>
        <wp:inline distT="0" distB="0" distL="0" distR="0" wp14:anchorId="32ADBA89" wp14:editId="4DD9E4EC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6104C" w14:textId="77777777" w:rsidR="00534221" w:rsidRDefault="00534221" w:rsidP="00534221">
    <w:pPr>
      <w:pStyle w:val="Zhlav"/>
      <w:jc w:val="center"/>
    </w:pPr>
  </w:p>
  <w:p w14:paraId="187306D2" w14:textId="6F519676" w:rsidR="00F15613" w:rsidRDefault="00F0078F" w:rsidP="0053422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858B6" w14:textId="75702A16" w:rsidR="00DA72BF" w:rsidRDefault="00DA72B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6B0B8474" wp14:editId="33E536B9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3F93"/>
    <w:multiLevelType w:val="hybridMultilevel"/>
    <w:tmpl w:val="4E1025E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2B252D"/>
    <w:multiLevelType w:val="hybridMultilevel"/>
    <w:tmpl w:val="C164C01C"/>
    <w:lvl w:ilvl="0" w:tplc="0405001B">
      <w:start w:val="1"/>
      <w:numFmt w:val="lowerRoman"/>
      <w:lvlText w:val="%1."/>
      <w:lvlJc w:val="righ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B2403C"/>
    <w:multiLevelType w:val="hybridMultilevel"/>
    <w:tmpl w:val="1FE4E7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B623A7"/>
    <w:multiLevelType w:val="hybridMultilevel"/>
    <w:tmpl w:val="0352994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E27E4A"/>
    <w:multiLevelType w:val="hybridMultilevel"/>
    <w:tmpl w:val="5BDC9ED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F43E78"/>
    <w:multiLevelType w:val="hybridMultilevel"/>
    <w:tmpl w:val="75C6B5C0"/>
    <w:lvl w:ilvl="0" w:tplc="0405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7" w15:restartNumberingAfterBreak="0">
    <w:nsid w:val="2A467B29"/>
    <w:multiLevelType w:val="hybridMultilevel"/>
    <w:tmpl w:val="6BFE847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B34044"/>
    <w:multiLevelType w:val="hybridMultilevel"/>
    <w:tmpl w:val="884C3B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7E5008"/>
    <w:multiLevelType w:val="hybridMultilevel"/>
    <w:tmpl w:val="13981D28"/>
    <w:lvl w:ilvl="0" w:tplc="040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11" w15:restartNumberingAfterBreak="0">
    <w:nsid w:val="33503064"/>
    <w:multiLevelType w:val="hybridMultilevel"/>
    <w:tmpl w:val="189ECE7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D800A5"/>
    <w:multiLevelType w:val="hybridMultilevel"/>
    <w:tmpl w:val="C8F88FA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446EE6"/>
    <w:multiLevelType w:val="hybridMultilevel"/>
    <w:tmpl w:val="36326B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49199E"/>
    <w:multiLevelType w:val="hybridMultilevel"/>
    <w:tmpl w:val="0A28E05A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88E5097"/>
    <w:multiLevelType w:val="hybridMultilevel"/>
    <w:tmpl w:val="F1C81B4A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AA1D8B"/>
    <w:multiLevelType w:val="hybridMultilevel"/>
    <w:tmpl w:val="38CAF87C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900D5B"/>
    <w:multiLevelType w:val="hybridMultilevel"/>
    <w:tmpl w:val="2584AA6E"/>
    <w:lvl w:ilvl="0" w:tplc="040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19" w15:restartNumberingAfterBreak="0">
    <w:nsid w:val="3ABA371D"/>
    <w:multiLevelType w:val="hybridMultilevel"/>
    <w:tmpl w:val="3042CC90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A3B0C64"/>
    <w:multiLevelType w:val="hybridMultilevel"/>
    <w:tmpl w:val="0B76FE36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B62210C"/>
    <w:multiLevelType w:val="hybridMultilevel"/>
    <w:tmpl w:val="E1F2887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180893"/>
    <w:multiLevelType w:val="hybridMultilevel"/>
    <w:tmpl w:val="86E443A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4ACD"/>
    <w:multiLevelType w:val="hybridMultilevel"/>
    <w:tmpl w:val="D03C0E7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C46623"/>
    <w:multiLevelType w:val="hybridMultilevel"/>
    <w:tmpl w:val="294CD292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10319946">
    <w:abstractNumId w:val="13"/>
  </w:num>
  <w:num w:numId="2" w16cid:durableId="19964968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9"/>
  </w:num>
  <w:num w:numId="4" w16cid:durableId="195116906">
    <w:abstractNumId w:val="0"/>
  </w:num>
  <w:num w:numId="5" w16cid:durableId="1221208281">
    <w:abstractNumId w:val="23"/>
  </w:num>
  <w:num w:numId="6" w16cid:durableId="2012826684">
    <w:abstractNumId w:val="14"/>
  </w:num>
  <w:num w:numId="7" w16cid:durableId="1611161057">
    <w:abstractNumId w:val="21"/>
  </w:num>
  <w:num w:numId="8" w16cid:durableId="1533685108">
    <w:abstractNumId w:val="3"/>
  </w:num>
  <w:num w:numId="9" w16cid:durableId="177231975">
    <w:abstractNumId w:val="4"/>
  </w:num>
  <w:num w:numId="10" w16cid:durableId="1329483428">
    <w:abstractNumId w:val="2"/>
  </w:num>
  <w:num w:numId="11" w16cid:durableId="1578199563">
    <w:abstractNumId w:val="6"/>
  </w:num>
  <w:num w:numId="12" w16cid:durableId="1408072921">
    <w:abstractNumId w:val="24"/>
  </w:num>
  <w:num w:numId="13" w16cid:durableId="787546414">
    <w:abstractNumId w:val="5"/>
  </w:num>
  <w:num w:numId="14" w16cid:durableId="500585676">
    <w:abstractNumId w:val="22"/>
  </w:num>
  <w:num w:numId="15" w16cid:durableId="1342202681">
    <w:abstractNumId w:val="17"/>
  </w:num>
  <w:num w:numId="16" w16cid:durableId="2042783747">
    <w:abstractNumId w:val="11"/>
  </w:num>
  <w:num w:numId="17" w16cid:durableId="1327244954">
    <w:abstractNumId w:val="16"/>
  </w:num>
  <w:num w:numId="18" w16cid:durableId="1419909797">
    <w:abstractNumId w:val="15"/>
  </w:num>
  <w:num w:numId="19" w16cid:durableId="1433819492">
    <w:abstractNumId w:val="1"/>
  </w:num>
  <w:num w:numId="20" w16cid:durableId="2047562359">
    <w:abstractNumId w:val="20"/>
  </w:num>
  <w:num w:numId="21" w16cid:durableId="403265368">
    <w:abstractNumId w:val="8"/>
  </w:num>
  <w:num w:numId="22" w16cid:durableId="822894387">
    <w:abstractNumId w:val="19"/>
  </w:num>
  <w:num w:numId="23" w16cid:durableId="1965186778">
    <w:abstractNumId w:val="12"/>
  </w:num>
  <w:num w:numId="24" w16cid:durableId="645014613">
    <w:abstractNumId w:val="25"/>
  </w:num>
  <w:num w:numId="25" w16cid:durableId="505827506">
    <w:abstractNumId w:val="18"/>
  </w:num>
  <w:num w:numId="26" w16cid:durableId="1360623580">
    <w:abstractNumId w:val="7"/>
  </w:num>
  <w:num w:numId="27" w16cid:durableId="776143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1ACC"/>
    <w:rsid w:val="000147C7"/>
    <w:rsid w:val="00021ED0"/>
    <w:rsid w:val="00031902"/>
    <w:rsid w:val="00035B3C"/>
    <w:rsid w:val="00041950"/>
    <w:rsid w:val="0004502E"/>
    <w:rsid w:val="00046447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E7C15"/>
    <w:rsid w:val="000F0D39"/>
    <w:rsid w:val="000F49AD"/>
    <w:rsid w:val="0010566D"/>
    <w:rsid w:val="00106025"/>
    <w:rsid w:val="00112B3F"/>
    <w:rsid w:val="001304F2"/>
    <w:rsid w:val="00131FA5"/>
    <w:rsid w:val="00132D48"/>
    <w:rsid w:val="00135791"/>
    <w:rsid w:val="00146FF1"/>
    <w:rsid w:val="00166464"/>
    <w:rsid w:val="00175ACE"/>
    <w:rsid w:val="00191F77"/>
    <w:rsid w:val="001A1F45"/>
    <w:rsid w:val="001B0681"/>
    <w:rsid w:val="001B58D8"/>
    <w:rsid w:val="001C1CA9"/>
    <w:rsid w:val="001C33EC"/>
    <w:rsid w:val="001C5736"/>
    <w:rsid w:val="001D3A83"/>
    <w:rsid w:val="001D47A7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17796"/>
    <w:rsid w:val="00221102"/>
    <w:rsid w:val="00225717"/>
    <w:rsid w:val="00242FE1"/>
    <w:rsid w:val="00243AA3"/>
    <w:rsid w:val="00252FC2"/>
    <w:rsid w:val="002622ED"/>
    <w:rsid w:val="00264607"/>
    <w:rsid w:val="002723BF"/>
    <w:rsid w:val="00273620"/>
    <w:rsid w:val="00273DE8"/>
    <w:rsid w:val="00276D6B"/>
    <w:rsid w:val="00281758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41B8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31D95"/>
    <w:rsid w:val="00333FE6"/>
    <w:rsid w:val="00336DEF"/>
    <w:rsid w:val="0034609A"/>
    <w:rsid w:val="00351DE3"/>
    <w:rsid w:val="00367884"/>
    <w:rsid w:val="00385A31"/>
    <w:rsid w:val="00386FAB"/>
    <w:rsid w:val="00387AE9"/>
    <w:rsid w:val="0039272C"/>
    <w:rsid w:val="003A1471"/>
    <w:rsid w:val="003A27F5"/>
    <w:rsid w:val="003B3C43"/>
    <w:rsid w:val="003B5043"/>
    <w:rsid w:val="003B6448"/>
    <w:rsid w:val="003C0332"/>
    <w:rsid w:val="003C4652"/>
    <w:rsid w:val="003E3907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558A6"/>
    <w:rsid w:val="00476D40"/>
    <w:rsid w:val="004853C3"/>
    <w:rsid w:val="00485427"/>
    <w:rsid w:val="00486300"/>
    <w:rsid w:val="00491F0D"/>
    <w:rsid w:val="0049534A"/>
    <w:rsid w:val="004976D3"/>
    <w:rsid w:val="004A2C9D"/>
    <w:rsid w:val="004A3D87"/>
    <w:rsid w:val="004C110F"/>
    <w:rsid w:val="004D171B"/>
    <w:rsid w:val="004E0FBA"/>
    <w:rsid w:val="004E49AF"/>
    <w:rsid w:val="004F6CC4"/>
    <w:rsid w:val="00502BEF"/>
    <w:rsid w:val="00507862"/>
    <w:rsid w:val="0051583F"/>
    <w:rsid w:val="005168E0"/>
    <w:rsid w:val="00523A5A"/>
    <w:rsid w:val="00525632"/>
    <w:rsid w:val="00534221"/>
    <w:rsid w:val="00540537"/>
    <w:rsid w:val="0055048A"/>
    <w:rsid w:val="00553280"/>
    <w:rsid w:val="005533A6"/>
    <w:rsid w:val="00561203"/>
    <w:rsid w:val="00573C0C"/>
    <w:rsid w:val="00575AE3"/>
    <w:rsid w:val="00575E1C"/>
    <w:rsid w:val="005766D3"/>
    <w:rsid w:val="0058545C"/>
    <w:rsid w:val="00585BDD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610784"/>
    <w:rsid w:val="00610FBD"/>
    <w:rsid w:val="00615B61"/>
    <w:rsid w:val="006233A2"/>
    <w:rsid w:val="00650387"/>
    <w:rsid w:val="00651906"/>
    <w:rsid w:val="00652FBC"/>
    <w:rsid w:val="00656FF9"/>
    <w:rsid w:val="00663401"/>
    <w:rsid w:val="00664017"/>
    <w:rsid w:val="00673EAE"/>
    <w:rsid w:val="00680944"/>
    <w:rsid w:val="00696027"/>
    <w:rsid w:val="006979CD"/>
    <w:rsid w:val="006A091C"/>
    <w:rsid w:val="006A097F"/>
    <w:rsid w:val="006A2E6F"/>
    <w:rsid w:val="006A494C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4F6C"/>
    <w:rsid w:val="00755268"/>
    <w:rsid w:val="0076146D"/>
    <w:rsid w:val="00761D2E"/>
    <w:rsid w:val="00780A43"/>
    <w:rsid w:val="00792D30"/>
    <w:rsid w:val="00795177"/>
    <w:rsid w:val="007A6186"/>
    <w:rsid w:val="007A66AA"/>
    <w:rsid w:val="007A7CA4"/>
    <w:rsid w:val="007B76E5"/>
    <w:rsid w:val="007C1206"/>
    <w:rsid w:val="007D28ED"/>
    <w:rsid w:val="007E1004"/>
    <w:rsid w:val="007E3C26"/>
    <w:rsid w:val="007E7907"/>
    <w:rsid w:val="007F1F95"/>
    <w:rsid w:val="007F6FCC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467AE"/>
    <w:rsid w:val="00862C56"/>
    <w:rsid w:val="00872B81"/>
    <w:rsid w:val="008849D1"/>
    <w:rsid w:val="008B0EC4"/>
    <w:rsid w:val="008D14B6"/>
    <w:rsid w:val="008D1CEF"/>
    <w:rsid w:val="008E27A7"/>
    <w:rsid w:val="008E559A"/>
    <w:rsid w:val="008F5F72"/>
    <w:rsid w:val="0090004F"/>
    <w:rsid w:val="009046DB"/>
    <w:rsid w:val="00924F7C"/>
    <w:rsid w:val="00930F59"/>
    <w:rsid w:val="00931FB2"/>
    <w:rsid w:val="009364E1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A071D"/>
    <w:rsid w:val="009A0AE8"/>
    <w:rsid w:val="009A25A3"/>
    <w:rsid w:val="009A6A50"/>
    <w:rsid w:val="009B4500"/>
    <w:rsid w:val="009D2D49"/>
    <w:rsid w:val="009D3B63"/>
    <w:rsid w:val="009E1334"/>
    <w:rsid w:val="009E6202"/>
    <w:rsid w:val="009E629B"/>
    <w:rsid w:val="009F2E58"/>
    <w:rsid w:val="009F3F9F"/>
    <w:rsid w:val="00A01115"/>
    <w:rsid w:val="00A04317"/>
    <w:rsid w:val="00A04911"/>
    <w:rsid w:val="00A10557"/>
    <w:rsid w:val="00A1170B"/>
    <w:rsid w:val="00A126CA"/>
    <w:rsid w:val="00A1351A"/>
    <w:rsid w:val="00A46427"/>
    <w:rsid w:val="00A4771C"/>
    <w:rsid w:val="00A5493E"/>
    <w:rsid w:val="00A5561A"/>
    <w:rsid w:val="00A566D6"/>
    <w:rsid w:val="00A56EF3"/>
    <w:rsid w:val="00A62D9B"/>
    <w:rsid w:val="00A65008"/>
    <w:rsid w:val="00A76BF5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57D85"/>
    <w:rsid w:val="00B600D5"/>
    <w:rsid w:val="00B60634"/>
    <w:rsid w:val="00B73ACE"/>
    <w:rsid w:val="00B73FD1"/>
    <w:rsid w:val="00B82D3D"/>
    <w:rsid w:val="00B85A2B"/>
    <w:rsid w:val="00B93F14"/>
    <w:rsid w:val="00B9708C"/>
    <w:rsid w:val="00B97922"/>
    <w:rsid w:val="00BA117E"/>
    <w:rsid w:val="00BA2C36"/>
    <w:rsid w:val="00BB40CD"/>
    <w:rsid w:val="00BC3C7E"/>
    <w:rsid w:val="00BC3E9B"/>
    <w:rsid w:val="00BD04D6"/>
    <w:rsid w:val="00BD616E"/>
    <w:rsid w:val="00BE1819"/>
    <w:rsid w:val="00BF49AF"/>
    <w:rsid w:val="00C115D3"/>
    <w:rsid w:val="00C15989"/>
    <w:rsid w:val="00C26B56"/>
    <w:rsid w:val="00C41386"/>
    <w:rsid w:val="00C41BF4"/>
    <w:rsid w:val="00C6493E"/>
    <w:rsid w:val="00C67FB1"/>
    <w:rsid w:val="00C72230"/>
    <w:rsid w:val="00C77A72"/>
    <w:rsid w:val="00C9337B"/>
    <w:rsid w:val="00CA144B"/>
    <w:rsid w:val="00CA321C"/>
    <w:rsid w:val="00CA5A4F"/>
    <w:rsid w:val="00CB35A6"/>
    <w:rsid w:val="00CB40D3"/>
    <w:rsid w:val="00CB691D"/>
    <w:rsid w:val="00CD37E1"/>
    <w:rsid w:val="00CD6E80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25A81"/>
    <w:rsid w:val="00D34C58"/>
    <w:rsid w:val="00D45EDB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69CE"/>
    <w:rsid w:val="00DA72BF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613E6"/>
    <w:rsid w:val="00E722F2"/>
    <w:rsid w:val="00E73B36"/>
    <w:rsid w:val="00E77549"/>
    <w:rsid w:val="00E77F53"/>
    <w:rsid w:val="00E91D0F"/>
    <w:rsid w:val="00E97744"/>
    <w:rsid w:val="00E97DDE"/>
    <w:rsid w:val="00EA4BF2"/>
    <w:rsid w:val="00EB2870"/>
    <w:rsid w:val="00EB2D4B"/>
    <w:rsid w:val="00EB5313"/>
    <w:rsid w:val="00EC0D9C"/>
    <w:rsid w:val="00EC177D"/>
    <w:rsid w:val="00EC7FE8"/>
    <w:rsid w:val="00EE74C2"/>
    <w:rsid w:val="00EE7624"/>
    <w:rsid w:val="00EF1B66"/>
    <w:rsid w:val="00EF5C5D"/>
    <w:rsid w:val="00F0078F"/>
    <w:rsid w:val="00F0751F"/>
    <w:rsid w:val="00F15613"/>
    <w:rsid w:val="00F168CB"/>
    <w:rsid w:val="00F417F4"/>
    <w:rsid w:val="00F41E2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129F"/>
    <w:rsid w:val="00FA5E73"/>
    <w:rsid w:val="00FA7221"/>
    <w:rsid w:val="00FB0E7E"/>
    <w:rsid w:val="00FB21A4"/>
    <w:rsid w:val="00FC623F"/>
    <w:rsid w:val="00FD1FC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91F0D"/>
    <w:pPr>
      <w:spacing w:after="160" w:line="259" w:lineRule="auto"/>
      <w:ind w:left="72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6</cp:revision>
  <cp:lastPrinted>2014-08-08T09:54:00Z</cp:lastPrinted>
  <dcterms:created xsi:type="dcterms:W3CDTF">2026-03-04T08:38:00Z</dcterms:created>
  <dcterms:modified xsi:type="dcterms:W3CDTF">2026-03-06T08:46:00Z</dcterms:modified>
</cp:coreProperties>
</file>