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3ED364CA" w:rsidR="00031902" w:rsidRDefault="00031902" w:rsidP="00031902">
            <w:pPr>
              <w:pStyle w:val="C03Textpodnzev"/>
            </w:pPr>
            <w:r>
              <w:t>veřejné zakázky</w:t>
            </w:r>
            <w:r w:rsidR="002F20B2">
              <w:t xml:space="preserve"> malého rozsahu</w:t>
            </w:r>
            <w:r>
              <w:t xml:space="preserve">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22112DAD" w:rsidR="00031902" w:rsidRDefault="007E1004" w:rsidP="007E1004">
            <w:pPr>
              <w:pStyle w:val="C02Nzevmalmi"/>
            </w:pPr>
            <w:r>
              <w:t>„</w:t>
            </w:r>
            <w:r w:rsidR="008A3311">
              <w:t xml:space="preserve">FTK/UPOL – </w:t>
            </w:r>
            <w:proofErr w:type="spellStart"/>
            <w:r w:rsidR="008A3311">
              <w:t>Isokinetický</w:t>
            </w:r>
            <w:proofErr w:type="spellEnd"/>
            <w:r w:rsidR="008A3311">
              <w:t xml:space="preserve"> dynamometr</w:t>
            </w:r>
            <w:r w:rsidR="00CE734A">
              <w:t xml:space="preserve"> II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132D48" w14:paraId="6F926A7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3D46D61" w14:textId="003B5828" w:rsidR="00132D48" w:rsidRDefault="00664017" w:rsidP="00BA117E">
            <w:pPr>
              <w:pStyle w:val="C09Tabvlevotun"/>
            </w:pPr>
            <w:r>
              <w:t>Dodavatel je malým nebo středním podnikem</w:t>
            </w:r>
            <w:r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77506CB" w14:textId="15EBE59E" w:rsidR="00132D48" w:rsidRDefault="00573C0C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2B5A37E5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AC4D94">
              <w:t xml:space="preserve">Výběrového </w:t>
            </w:r>
            <w:r>
              <w:t>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385A31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385A31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385A31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385A31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385A31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385A31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385A31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385A31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385A31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385A31">
            <w:pPr>
              <w:pStyle w:val="C08Tabvlevo"/>
              <w:keepNext/>
              <w:keepLines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138C1B55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71A74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04032A6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</w:t>
      </w:r>
      <w:r w:rsidR="00AE532C">
        <w:t>e výběrovém</w:t>
      </w:r>
      <w:r w:rsidR="00837812">
        <w:t xml:space="preserve">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47E1B809" w14:textId="33DAA31E" w:rsidR="006A494C" w:rsidRPr="008A3311" w:rsidRDefault="006A494C" w:rsidP="006A494C">
      <w:pPr>
        <w:pStyle w:val="A06Psmpododst"/>
      </w:pPr>
      <w:r w:rsidRPr="008A3311">
        <w:rPr>
          <w:b/>
          <w:bCs/>
        </w:rPr>
        <w:t xml:space="preserve">ke střetu zájmů ve smyslu </w:t>
      </w:r>
      <w:r w:rsidR="00E97DDE" w:rsidRPr="008A3311">
        <w:rPr>
          <w:b/>
          <w:bCs/>
        </w:rPr>
        <w:t>D</w:t>
      </w:r>
      <w:r w:rsidRPr="008A3311">
        <w:rPr>
          <w:b/>
          <w:bCs/>
        </w:rPr>
        <w:t>otačních pravidel</w:t>
      </w:r>
      <w:r w:rsidRPr="008A3311">
        <w:t>, že u něho nejsou dány podmínky pro existenci střetu zájmů ve smyslu § 44 ZZVZ, zejména není ve výběrovém řízení ovlivněn přímo nebo nepřímo ve vztahu k Zadavateli ani k subjektům podílejícím se na přípravě zadávacích podmínek, ani nemá žádné zvláštní spojení s těmito osobami (např. majetkové, personální apod.);</w:t>
      </w:r>
    </w:p>
    <w:p w14:paraId="785637C4" w14:textId="48DD5179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16537D5C" w:rsidR="0073045B" w:rsidRDefault="0073045B" w:rsidP="009E6202">
      <w:pPr>
        <w:pStyle w:val="A06Psmpododst"/>
      </w:pPr>
      <w:r w:rsidRPr="00D11281">
        <w:rPr>
          <w:b/>
          <w:bCs/>
        </w:rPr>
        <w:t>k mezinárodním sankcím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lastRenderedPageBreak/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9A0AE8">
      <w:pPr>
        <w:pStyle w:val="A02Pod-lnek"/>
      </w:pPr>
      <w:r>
        <w:t>Základní způsobilost</w:t>
      </w:r>
    </w:p>
    <w:p w14:paraId="6306EED7" w14:textId="09CBBE05" w:rsidR="00C9337B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ZZVZ.</w:t>
      </w:r>
    </w:p>
    <w:p w14:paraId="022FC43E" w14:textId="5CC92046" w:rsidR="00243AA3" w:rsidRDefault="00243AA3" w:rsidP="009A0AE8">
      <w:pPr>
        <w:pStyle w:val="A02Pod-lnek"/>
      </w:pPr>
      <w:r>
        <w:t>Profesní způsobilost</w:t>
      </w:r>
    </w:p>
    <w:p w14:paraId="7DB3A889" w14:textId="338094B9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AA5414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</w:t>
      </w:r>
      <w:r w:rsidR="001F2BA9">
        <w:t xml:space="preserve">Tuto skutečnost dodavatel </w:t>
      </w:r>
      <w:r w:rsidR="009A071D">
        <w:t>prokáže čestným prohlášením</w:t>
      </w:r>
      <w:r w:rsidR="00E05E88">
        <w:t>.</w:t>
      </w:r>
    </w:p>
    <w:p w14:paraId="11F67D11" w14:textId="4766564F" w:rsidR="00243AA3" w:rsidRDefault="00243AA3" w:rsidP="009A0AE8">
      <w:pPr>
        <w:pStyle w:val="A02Pod-lnek"/>
      </w:pPr>
      <w:r>
        <w:t>Technická kvalifikace</w:t>
      </w:r>
    </w:p>
    <w:p w14:paraId="0F8190A9" w14:textId="6D405B9C" w:rsidR="00D4742F" w:rsidRDefault="00F74A5A" w:rsidP="00243AA3">
      <w:pPr>
        <w:pStyle w:val="A05Odstneslovan"/>
      </w:pPr>
      <w:r>
        <w:t>Zadavatel nepožaduje prokázání technické kvalifikace.</w:t>
      </w:r>
    </w:p>
    <w:p w14:paraId="3AAA1950" w14:textId="2964F3EC" w:rsidR="00B03866" w:rsidRDefault="000D66D1" w:rsidP="000D66D1">
      <w:pPr>
        <w:pStyle w:val="A01lnek"/>
      </w:pPr>
      <w:r>
        <w:t xml:space="preserve">Hodnocené </w:t>
      </w:r>
      <w:r w:rsidRPr="000D66D1">
        <w:t>údaje</w:t>
      </w:r>
    </w:p>
    <w:p w14:paraId="7489AC77" w14:textId="3CCC6C07" w:rsidR="000D66D1" w:rsidRDefault="00B15FDE" w:rsidP="000D66D1">
      <w:pPr>
        <w:pStyle w:val="A05Odstneslovan"/>
      </w:pPr>
      <w:r>
        <w:t xml:space="preserve">Dodavatel nabízí za předmět Veřejné zakázky celkovou nabídkovou cenu </w:t>
      </w:r>
      <w:r w:rsidRPr="00C77A72">
        <w:rPr>
          <w:b/>
          <w:bCs/>
        </w:rPr>
        <w:t xml:space="preserve">ve výši </w:t>
      </w:r>
      <w:r w:rsidR="003158F4" w:rsidRPr="00C77A72">
        <w:rPr>
          <w:b/>
          <w:bCs/>
        </w:rPr>
        <w:fldChar w:fldCharType="begin">
          <w:ffData>
            <w:name w:val="Text33"/>
            <w:enabled/>
            <w:calcOnExit w:val="0"/>
            <w:textInput>
              <w:default w:val="Doplnit částku"/>
            </w:textInput>
          </w:ffData>
        </w:fldChar>
      </w:r>
      <w:bookmarkStart w:id="18" w:name="Text33"/>
      <w:r w:rsidR="003158F4" w:rsidRPr="00C77A72">
        <w:rPr>
          <w:b/>
          <w:bCs/>
        </w:rPr>
        <w:instrText xml:space="preserve"> FORMTEXT </w:instrText>
      </w:r>
      <w:r w:rsidR="003158F4" w:rsidRPr="00C77A72">
        <w:rPr>
          <w:b/>
          <w:bCs/>
        </w:rPr>
      </w:r>
      <w:r w:rsidR="003158F4" w:rsidRPr="00C77A72">
        <w:rPr>
          <w:b/>
          <w:bCs/>
        </w:rPr>
        <w:fldChar w:fldCharType="separate"/>
      </w:r>
      <w:r w:rsidR="003158F4" w:rsidRPr="00C77A72">
        <w:rPr>
          <w:b/>
          <w:bCs/>
          <w:noProof/>
        </w:rPr>
        <w:t>Doplnit částku</w:t>
      </w:r>
      <w:r w:rsidR="003158F4" w:rsidRPr="00C77A72">
        <w:rPr>
          <w:b/>
          <w:bCs/>
        </w:rPr>
        <w:fldChar w:fldCharType="end"/>
      </w:r>
      <w:bookmarkEnd w:id="18"/>
      <w:r w:rsidR="00C77A72" w:rsidRPr="00C77A72">
        <w:rPr>
          <w:b/>
          <w:bCs/>
        </w:rPr>
        <w:t> </w:t>
      </w:r>
      <w:r w:rsidR="00476D40" w:rsidRPr="00C77A72">
        <w:rPr>
          <w:b/>
          <w:bCs/>
        </w:rPr>
        <w:t>Kč bez DPH</w:t>
      </w:r>
      <w:r w:rsidR="00476D40">
        <w:t>.</w:t>
      </w:r>
    </w:p>
    <w:p w14:paraId="01BA6CD8" w14:textId="0209D8DE" w:rsidR="00E128E9" w:rsidRDefault="003E3907" w:rsidP="003E3907">
      <w:pPr>
        <w:pStyle w:val="A01lnek"/>
      </w:pPr>
      <w:r>
        <w:t xml:space="preserve">Technická </w:t>
      </w:r>
      <w:r w:rsidR="00112B3F">
        <w:t>specifikace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721"/>
        <w:gridCol w:w="2410"/>
        <w:gridCol w:w="2409"/>
      </w:tblGrid>
      <w:tr w:rsidR="00B85A2B" w14:paraId="25B2FEB4" w14:textId="77777777" w:rsidTr="008A7426">
        <w:tc>
          <w:tcPr>
            <w:tcW w:w="961" w:type="dxa"/>
          </w:tcPr>
          <w:p w14:paraId="4768C882" w14:textId="77777777" w:rsidR="00B85A2B" w:rsidRDefault="00B85A2B" w:rsidP="008A7426">
            <w:pPr>
              <w:pStyle w:val="C03Textpodnzev"/>
            </w:pPr>
            <w:r>
              <w:t>Č. položky</w:t>
            </w:r>
          </w:p>
        </w:tc>
        <w:tc>
          <w:tcPr>
            <w:tcW w:w="2721" w:type="dxa"/>
          </w:tcPr>
          <w:p w14:paraId="19E10C81" w14:textId="77777777" w:rsidR="00B85A2B" w:rsidRDefault="00B85A2B" w:rsidP="008A7426">
            <w:pPr>
              <w:pStyle w:val="C03Textpodnzev"/>
            </w:pPr>
            <w:r>
              <w:t>Základní technické parametry</w:t>
            </w:r>
          </w:p>
        </w:tc>
        <w:tc>
          <w:tcPr>
            <w:tcW w:w="2410" w:type="dxa"/>
          </w:tcPr>
          <w:p w14:paraId="69A96C34" w14:textId="77777777" w:rsidR="00B85A2B" w:rsidRDefault="00B85A2B" w:rsidP="008A7426">
            <w:pPr>
              <w:pStyle w:val="C03Textpodnzev"/>
            </w:pPr>
            <w:r>
              <w:t>Požadovaná úroveň parametrů</w:t>
            </w:r>
          </w:p>
        </w:tc>
        <w:tc>
          <w:tcPr>
            <w:tcW w:w="2409" w:type="dxa"/>
          </w:tcPr>
          <w:p w14:paraId="23A901B3" w14:textId="77777777" w:rsidR="00B85A2B" w:rsidRDefault="00B85A2B" w:rsidP="008A7426">
            <w:pPr>
              <w:pStyle w:val="C03Textpodnzev"/>
            </w:pPr>
            <w:r>
              <w:t>Nabízená úroveň parametrů</w:t>
            </w:r>
          </w:p>
        </w:tc>
      </w:tr>
      <w:tr w:rsidR="00B85A2B" w14:paraId="0F9A54F7" w14:textId="77777777" w:rsidTr="008A7426">
        <w:tc>
          <w:tcPr>
            <w:tcW w:w="961" w:type="dxa"/>
          </w:tcPr>
          <w:p w14:paraId="5EE20E97" w14:textId="77777777" w:rsidR="00B85A2B" w:rsidRDefault="00B85A2B" w:rsidP="008A7426">
            <w:pPr>
              <w:pStyle w:val="C10Tabsted"/>
            </w:pPr>
            <w:r>
              <w:t>1.</w:t>
            </w:r>
          </w:p>
        </w:tc>
        <w:tc>
          <w:tcPr>
            <w:tcW w:w="2721" w:type="dxa"/>
          </w:tcPr>
          <w:p w14:paraId="21569079" w14:textId="1E7F2707" w:rsidR="00B85A2B" w:rsidRPr="008A7426" w:rsidRDefault="00D4254E" w:rsidP="008A7426">
            <w:pPr>
              <w:pStyle w:val="C08Tabvlevo"/>
              <w:rPr>
                <w:b/>
                <w:bCs/>
              </w:rPr>
            </w:pPr>
            <w:r>
              <w:rPr>
                <w:b/>
                <w:bCs/>
              </w:rPr>
              <w:t>Isokinetický dynamometr</w:t>
            </w:r>
          </w:p>
        </w:tc>
        <w:tc>
          <w:tcPr>
            <w:tcW w:w="4819" w:type="dxa"/>
            <w:gridSpan w:val="2"/>
          </w:tcPr>
          <w:p w14:paraId="10F12EBA" w14:textId="77777777" w:rsidR="00B85A2B" w:rsidRDefault="00B85A2B" w:rsidP="008A7426">
            <w:pPr>
              <w:pStyle w:val="C10Tabsted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default w:val="Doplnit název výrobce a označení modelu"/>
                  </w:textInput>
                </w:ffData>
              </w:fldChar>
            </w:r>
            <w:bookmarkStart w:id="19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 a označení modelu</w:t>
            </w:r>
            <w:r>
              <w:fldChar w:fldCharType="end"/>
            </w:r>
            <w:bookmarkEnd w:id="19"/>
          </w:p>
        </w:tc>
      </w:tr>
      <w:tr w:rsidR="00B85A2B" w14:paraId="4681F33D" w14:textId="77777777" w:rsidTr="008A7426">
        <w:tc>
          <w:tcPr>
            <w:tcW w:w="961" w:type="dxa"/>
          </w:tcPr>
          <w:p w14:paraId="2EBA2E78" w14:textId="77777777" w:rsidR="00B85A2B" w:rsidRDefault="00B85A2B" w:rsidP="008A7426">
            <w:pPr>
              <w:pStyle w:val="C10Tabsted"/>
            </w:pPr>
            <w:proofErr w:type="gramStart"/>
            <w:r>
              <w:t>1a</w:t>
            </w:r>
            <w:proofErr w:type="gramEnd"/>
          </w:p>
        </w:tc>
        <w:tc>
          <w:tcPr>
            <w:tcW w:w="2721" w:type="dxa"/>
          </w:tcPr>
          <w:p w14:paraId="379587E9" w14:textId="540AA36B" w:rsidR="00B85A2B" w:rsidRPr="008A7426" w:rsidRDefault="002D312D" w:rsidP="008A7426">
            <w:pPr>
              <w:pStyle w:val="C08Tabvlevo"/>
              <w:rPr>
                <w:b/>
                <w:bCs/>
              </w:rPr>
            </w:pPr>
            <w:r>
              <w:rPr>
                <w:b/>
                <w:bCs/>
              </w:rPr>
              <w:t>Počet kusů</w:t>
            </w:r>
          </w:p>
        </w:tc>
        <w:tc>
          <w:tcPr>
            <w:tcW w:w="2410" w:type="dxa"/>
          </w:tcPr>
          <w:p w14:paraId="7E8BD912" w14:textId="345AB2D2" w:rsidR="00B85A2B" w:rsidRDefault="002D312D" w:rsidP="008A7426">
            <w:pPr>
              <w:pStyle w:val="C10Tabsted"/>
            </w:pPr>
            <w:r>
              <w:t>1 ks</w:t>
            </w:r>
          </w:p>
        </w:tc>
        <w:tc>
          <w:tcPr>
            <w:tcW w:w="2409" w:type="dxa"/>
          </w:tcPr>
          <w:p w14:paraId="5613892A" w14:textId="16F30C52" w:rsidR="00B85A2B" w:rsidRDefault="00F35FDD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EC4B3B" w14:paraId="58F3B801" w14:textId="77777777" w:rsidTr="00412114">
        <w:tc>
          <w:tcPr>
            <w:tcW w:w="8501" w:type="dxa"/>
            <w:gridSpan w:val="4"/>
          </w:tcPr>
          <w:p w14:paraId="2A0690F4" w14:textId="77C58D6D" w:rsidR="00EC4B3B" w:rsidRDefault="00EC4B3B" w:rsidP="00EC4B3B">
            <w:pPr>
              <w:pStyle w:val="C11Tabstedtun"/>
            </w:pPr>
            <w:r>
              <w:t>Funkční požadavky</w:t>
            </w:r>
          </w:p>
        </w:tc>
      </w:tr>
      <w:tr w:rsidR="00B85A2B" w14:paraId="05B86509" w14:textId="77777777" w:rsidTr="008A7426">
        <w:tc>
          <w:tcPr>
            <w:tcW w:w="961" w:type="dxa"/>
          </w:tcPr>
          <w:p w14:paraId="025D42FB" w14:textId="77777777" w:rsidR="00B85A2B" w:rsidRDefault="00B85A2B" w:rsidP="008A7426">
            <w:pPr>
              <w:pStyle w:val="C10Tabsted"/>
            </w:pPr>
            <w:proofErr w:type="gramStart"/>
            <w:r>
              <w:t>1b</w:t>
            </w:r>
            <w:proofErr w:type="gramEnd"/>
          </w:p>
        </w:tc>
        <w:tc>
          <w:tcPr>
            <w:tcW w:w="2721" w:type="dxa"/>
          </w:tcPr>
          <w:p w14:paraId="4EDF462A" w14:textId="7824A15A" w:rsidR="00B85A2B" w:rsidRPr="00651B43" w:rsidRDefault="00344669" w:rsidP="00651B43">
            <w:pPr>
              <w:pStyle w:val="C08Tabvlevo"/>
            </w:pPr>
            <w:r w:rsidRPr="00651B43">
              <w:t xml:space="preserve">Testování v koncentrickém, excentrickém (recipročně </w:t>
            </w:r>
            <w:proofErr w:type="gramStart"/>
            <w:r w:rsidRPr="00651B43">
              <w:t>koncentricko:koncentricky</w:t>
            </w:r>
            <w:proofErr w:type="gramEnd"/>
            <w:r w:rsidRPr="00651B43">
              <w:t xml:space="preserve">, </w:t>
            </w:r>
            <w:proofErr w:type="gramStart"/>
            <w:r w:rsidRPr="00651B43">
              <w:t>koncentricko:excentricky</w:t>
            </w:r>
            <w:proofErr w:type="gramEnd"/>
            <w:r w:rsidRPr="00651B43">
              <w:t xml:space="preserve">, </w:t>
            </w:r>
            <w:proofErr w:type="gramStart"/>
            <w:r w:rsidRPr="00651B43">
              <w:t>excentricko:koncentricky</w:t>
            </w:r>
            <w:proofErr w:type="gramEnd"/>
            <w:r w:rsidRPr="00651B43">
              <w:t xml:space="preserve"> a </w:t>
            </w:r>
            <w:proofErr w:type="gramStart"/>
            <w:r w:rsidRPr="00651B43">
              <w:t>excenricko:excentricky</w:t>
            </w:r>
            <w:proofErr w:type="gramEnd"/>
            <w:r w:rsidRPr="00651B43">
              <w:t>) i isometrickém režimu svalové práce</w:t>
            </w:r>
            <w:r w:rsidR="00A32220">
              <w:t>.</w:t>
            </w:r>
          </w:p>
        </w:tc>
        <w:tc>
          <w:tcPr>
            <w:tcW w:w="2410" w:type="dxa"/>
          </w:tcPr>
          <w:p w14:paraId="66938ED4" w14:textId="5067FF25" w:rsidR="00B85A2B" w:rsidRDefault="00B85A2B" w:rsidP="008A7426">
            <w:pPr>
              <w:pStyle w:val="C10Tabsted"/>
            </w:pPr>
            <w:r w:rsidRPr="00651B43">
              <w:t>ANO</w:t>
            </w:r>
          </w:p>
        </w:tc>
        <w:tc>
          <w:tcPr>
            <w:tcW w:w="2409" w:type="dxa"/>
          </w:tcPr>
          <w:p w14:paraId="45DB3621" w14:textId="77777777" w:rsidR="00B85A2B" w:rsidRDefault="00B85A2B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4669" w14:paraId="3EC65004" w14:textId="77777777" w:rsidTr="008A7426">
        <w:tc>
          <w:tcPr>
            <w:tcW w:w="961" w:type="dxa"/>
          </w:tcPr>
          <w:p w14:paraId="7343EDC1" w14:textId="723DD1A7" w:rsidR="00344669" w:rsidRDefault="00D4254E" w:rsidP="008A7426">
            <w:pPr>
              <w:pStyle w:val="C10Tabsted"/>
            </w:pPr>
            <w:r>
              <w:t>1c</w:t>
            </w:r>
          </w:p>
        </w:tc>
        <w:tc>
          <w:tcPr>
            <w:tcW w:w="2721" w:type="dxa"/>
          </w:tcPr>
          <w:p w14:paraId="1005059D" w14:textId="48B8E48C" w:rsidR="00344669" w:rsidRPr="00651B43" w:rsidRDefault="002C6171" w:rsidP="00651B43">
            <w:pPr>
              <w:pStyle w:val="C08Tabvlevo"/>
            </w:pPr>
            <w:r w:rsidRPr="00651B43">
              <w:t>Řízený pasivní pohyb (CPM) s možností obrácení směru po překročení nastavitelného excentrického momentového prahu</w:t>
            </w:r>
            <w:r w:rsidR="00A32220">
              <w:t>.</w:t>
            </w:r>
          </w:p>
        </w:tc>
        <w:tc>
          <w:tcPr>
            <w:tcW w:w="2410" w:type="dxa"/>
          </w:tcPr>
          <w:p w14:paraId="2BB517A7" w14:textId="4C6A4807" w:rsidR="00344669" w:rsidRPr="00FF4C01" w:rsidRDefault="00651B43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5D591D4F" w14:textId="67985391" w:rsidR="00344669" w:rsidRDefault="00651B43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4669" w14:paraId="6713FBAE" w14:textId="77777777" w:rsidTr="008A7426">
        <w:tc>
          <w:tcPr>
            <w:tcW w:w="961" w:type="dxa"/>
          </w:tcPr>
          <w:p w14:paraId="0AC2F9B3" w14:textId="615C87E5" w:rsidR="00344669" w:rsidRDefault="00D4254E" w:rsidP="008A7426">
            <w:pPr>
              <w:pStyle w:val="C10Tabsted"/>
            </w:pPr>
            <w:proofErr w:type="gramStart"/>
            <w:r>
              <w:t>1d</w:t>
            </w:r>
            <w:proofErr w:type="gramEnd"/>
          </w:p>
        </w:tc>
        <w:tc>
          <w:tcPr>
            <w:tcW w:w="2721" w:type="dxa"/>
          </w:tcPr>
          <w:p w14:paraId="5DB1301A" w14:textId="77777777" w:rsidR="00344669" w:rsidRPr="00651B43" w:rsidRDefault="00FE366D" w:rsidP="00651B43">
            <w:pPr>
              <w:pStyle w:val="C08Tabvlevo"/>
            </w:pPr>
            <w:r w:rsidRPr="00651B43">
              <w:t>Dynamicky řízené rychlostní profily s následujícími individuálními parametry (samostatně pro oba směry pohybu):</w:t>
            </w:r>
          </w:p>
          <w:p w14:paraId="2C2F8FBF" w14:textId="43A8D80E" w:rsidR="00FE366D" w:rsidRPr="00651B43" w:rsidRDefault="00C77FFB" w:rsidP="00651B43">
            <w:pPr>
              <w:pStyle w:val="C08Tabvlevo"/>
              <w:numPr>
                <w:ilvl w:val="0"/>
                <w:numId w:val="7"/>
              </w:numPr>
            </w:pPr>
            <w:r w:rsidRPr="00651B43">
              <w:t>Zrychlení a zpomalení minimálně 8 000 °/s</w:t>
            </w:r>
            <w:r w:rsidRPr="007B01C6">
              <w:rPr>
                <w:vertAlign w:val="superscript"/>
              </w:rPr>
              <w:t>2</w:t>
            </w:r>
            <w:r w:rsidR="00651B43" w:rsidRPr="00651B43">
              <w:t>.</w:t>
            </w:r>
          </w:p>
          <w:p w14:paraId="13D9FAE0" w14:textId="2E0F00A6" w:rsidR="00C77FFB" w:rsidRPr="00651B43" w:rsidRDefault="00B21670" w:rsidP="00651B43">
            <w:pPr>
              <w:pStyle w:val="C08Tabvlevo"/>
              <w:numPr>
                <w:ilvl w:val="0"/>
                <w:numId w:val="7"/>
              </w:numPr>
            </w:pPr>
            <w:r w:rsidRPr="00651B43">
              <w:t>Maximální úhlová rychlost až 550°/s</w:t>
            </w:r>
            <w:r w:rsidR="00651B43" w:rsidRPr="00651B43">
              <w:t>.</w:t>
            </w:r>
          </w:p>
          <w:p w14:paraId="7870689C" w14:textId="0227059D" w:rsidR="00B21670" w:rsidRPr="00651B43" w:rsidRDefault="003705E8" w:rsidP="00651B43">
            <w:pPr>
              <w:pStyle w:val="C08Tabvlevo"/>
              <w:numPr>
                <w:ilvl w:val="0"/>
                <w:numId w:val="7"/>
              </w:numPr>
            </w:pPr>
            <w:r w:rsidRPr="00651B43">
              <w:lastRenderedPageBreak/>
              <w:t>Maximální točivý moment ≥ 750 Nm ve fázi koncentrické i excentrické</w:t>
            </w:r>
            <w:r w:rsidR="00651B43" w:rsidRPr="00651B43">
              <w:t>.</w:t>
            </w:r>
          </w:p>
          <w:p w14:paraId="74F1F50E" w14:textId="291412EE" w:rsidR="00651B43" w:rsidRPr="00651B43" w:rsidRDefault="00651B43" w:rsidP="00651B43">
            <w:pPr>
              <w:pStyle w:val="C08Tabvlevo"/>
              <w:numPr>
                <w:ilvl w:val="0"/>
                <w:numId w:val="7"/>
              </w:numPr>
            </w:pPr>
            <w:r w:rsidRPr="00651B43">
              <w:t>Spuštění pohybu při dosažení nastavitelné prahové hodnoty momentu síly, včetně možnosti vyjádření v % z maximálního izometrického testu.</w:t>
            </w:r>
          </w:p>
        </w:tc>
        <w:tc>
          <w:tcPr>
            <w:tcW w:w="2410" w:type="dxa"/>
          </w:tcPr>
          <w:p w14:paraId="015320A9" w14:textId="245A2024" w:rsidR="00344669" w:rsidRPr="00FF4C01" w:rsidRDefault="00651B43" w:rsidP="008A7426">
            <w:pPr>
              <w:pStyle w:val="C10Tabsted"/>
              <w:rPr>
                <w:highlight w:val="yellow"/>
              </w:rPr>
            </w:pPr>
            <w:r w:rsidRPr="00651B43">
              <w:lastRenderedPageBreak/>
              <w:t>ANO</w:t>
            </w:r>
          </w:p>
        </w:tc>
        <w:tc>
          <w:tcPr>
            <w:tcW w:w="2409" w:type="dxa"/>
          </w:tcPr>
          <w:p w14:paraId="6D18AF8F" w14:textId="59CADD28" w:rsidR="00344669" w:rsidRDefault="00651B43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3A4119" w14:paraId="6E267340" w14:textId="77777777" w:rsidTr="00E5102B">
        <w:tc>
          <w:tcPr>
            <w:tcW w:w="8501" w:type="dxa"/>
            <w:gridSpan w:val="4"/>
          </w:tcPr>
          <w:p w14:paraId="7717FBDE" w14:textId="2BEEC551" w:rsidR="003A4119" w:rsidRDefault="003A4119" w:rsidP="003A4119">
            <w:pPr>
              <w:pStyle w:val="C11Tabstedtun"/>
            </w:pPr>
            <w:r>
              <w:t>Kompenzace a nastavení zařízení</w:t>
            </w:r>
          </w:p>
        </w:tc>
      </w:tr>
      <w:tr w:rsidR="00344669" w14:paraId="6660EEEE" w14:textId="77777777" w:rsidTr="008A7426">
        <w:tc>
          <w:tcPr>
            <w:tcW w:w="961" w:type="dxa"/>
          </w:tcPr>
          <w:p w14:paraId="72F05E24" w14:textId="3FB4ABD8" w:rsidR="00344669" w:rsidRPr="001D4866" w:rsidRDefault="00CE19D6" w:rsidP="008A7426">
            <w:pPr>
              <w:pStyle w:val="C10Tabsted"/>
            </w:pPr>
            <w:r>
              <w:t>1e</w:t>
            </w:r>
          </w:p>
        </w:tc>
        <w:tc>
          <w:tcPr>
            <w:tcW w:w="2721" w:type="dxa"/>
          </w:tcPr>
          <w:p w14:paraId="0A589194" w14:textId="392C8627" w:rsidR="00344669" w:rsidRPr="001D4866" w:rsidRDefault="00A32220" w:rsidP="001D4866">
            <w:pPr>
              <w:pStyle w:val="C08Tabvlevo"/>
            </w:pPr>
            <w:r w:rsidRPr="001D4866">
              <w:t>Gravitační kompenzace s automatickým uložením pro testovaného jedince, kloub a rovinu pohybu.</w:t>
            </w:r>
          </w:p>
        </w:tc>
        <w:tc>
          <w:tcPr>
            <w:tcW w:w="2410" w:type="dxa"/>
          </w:tcPr>
          <w:p w14:paraId="02D5900B" w14:textId="32E3B649" w:rsidR="00344669" w:rsidRPr="00FF4C01" w:rsidRDefault="00D50218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5603AF17" w14:textId="006A7A25" w:rsidR="00344669" w:rsidRDefault="00D50218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4669" w14:paraId="704F2FCD" w14:textId="77777777" w:rsidTr="008A7426">
        <w:tc>
          <w:tcPr>
            <w:tcW w:w="961" w:type="dxa"/>
          </w:tcPr>
          <w:p w14:paraId="05B476EF" w14:textId="2C0F0D76" w:rsidR="00344669" w:rsidRPr="001D4866" w:rsidRDefault="00CE19D6" w:rsidP="008A7426">
            <w:pPr>
              <w:pStyle w:val="C10Tabsted"/>
            </w:pPr>
            <w:r>
              <w:t>1f</w:t>
            </w:r>
          </w:p>
        </w:tc>
        <w:tc>
          <w:tcPr>
            <w:tcW w:w="2721" w:type="dxa"/>
          </w:tcPr>
          <w:p w14:paraId="774350D7" w14:textId="43A3E809" w:rsidR="00344669" w:rsidRPr="001D4866" w:rsidRDefault="00192490" w:rsidP="001D4866">
            <w:pPr>
              <w:pStyle w:val="C08Tabvlevo"/>
            </w:pPr>
            <w:r w:rsidRPr="001D4866">
              <w:t>Reprodukovatelné upevnění rotační polohy dynamometru vůči sedadlu/lehátku (rozlišení min. 0,5°).</w:t>
            </w:r>
          </w:p>
        </w:tc>
        <w:tc>
          <w:tcPr>
            <w:tcW w:w="2410" w:type="dxa"/>
          </w:tcPr>
          <w:p w14:paraId="6C8133C6" w14:textId="3A406BBA" w:rsidR="00344669" w:rsidRPr="00FF4C01" w:rsidRDefault="00CE19D6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33AC33E2" w14:textId="51AE6D30" w:rsidR="00344669" w:rsidRDefault="00CE19D6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A32220" w14:paraId="516117AB" w14:textId="77777777" w:rsidTr="008A7426">
        <w:tc>
          <w:tcPr>
            <w:tcW w:w="961" w:type="dxa"/>
          </w:tcPr>
          <w:p w14:paraId="49D2D331" w14:textId="61363853" w:rsidR="00A32220" w:rsidRPr="001D4866" w:rsidRDefault="00CE19D6" w:rsidP="008A7426">
            <w:pPr>
              <w:pStyle w:val="C10Tabsted"/>
            </w:pPr>
            <w:proofErr w:type="gramStart"/>
            <w:r>
              <w:t>1g</w:t>
            </w:r>
            <w:proofErr w:type="gramEnd"/>
          </w:p>
        </w:tc>
        <w:tc>
          <w:tcPr>
            <w:tcW w:w="2721" w:type="dxa"/>
          </w:tcPr>
          <w:p w14:paraId="37FCEAB3" w14:textId="0F2FDDDC" w:rsidR="00A32220" w:rsidRPr="001D4866" w:rsidRDefault="002A2639" w:rsidP="001D4866">
            <w:pPr>
              <w:pStyle w:val="C08Tabvlevo"/>
            </w:pPr>
            <w:r w:rsidRPr="001D4866">
              <w:t>Pevnost pozice dynamometru – odolnost vůči max. točivému momentu ve všech fixovaných polohách</w:t>
            </w:r>
          </w:p>
        </w:tc>
        <w:tc>
          <w:tcPr>
            <w:tcW w:w="2410" w:type="dxa"/>
          </w:tcPr>
          <w:p w14:paraId="7CC49E14" w14:textId="64D4EA61" w:rsidR="00A32220" w:rsidRPr="00FF4C01" w:rsidRDefault="00D50218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1DF1694B" w14:textId="2B0F2E28" w:rsidR="00A32220" w:rsidRDefault="00D50218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A32220" w14:paraId="1E718C5F" w14:textId="77777777" w:rsidTr="008A7426">
        <w:tc>
          <w:tcPr>
            <w:tcW w:w="961" w:type="dxa"/>
          </w:tcPr>
          <w:p w14:paraId="1751B8D8" w14:textId="5BB16A70" w:rsidR="00A32220" w:rsidRPr="001D4866" w:rsidRDefault="00CE19D6" w:rsidP="008A7426">
            <w:pPr>
              <w:pStyle w:val="C10Tabsted"/>
            </w:pPr>
            <w:proofErr w:type="gramStart"/>
            <w:r>
              <w:t>1h</w:t>
            </w:r>
            <w:proofErr w:type="gramEnd"/>
          </w:p>
        </w:tc>
        <w:tc>
          <w:tcPr>
            <w:tcW w:w="2721" w:type="dxa"/>
          </w:tcPr>
          <w:p w14:paraId="352CFB54" w14:textId="2B9FBC08" w:rsidR="00A32220" w:rsidRPr="001D4866" w:rsidRDefault="000F0F3C" w:rsidP="001D4866">
            <w:pPr>
              <w:pStyle w:val="C08Tabvlevo"/>
            </w:pPr>
            <w:r w:rsidRPr="001D4866">
              <w:t>Minimální výška osy dynamometru 60 cm</w:t>
            </w:r>
            <w:r w:rsidR="00CE19D6">
              <w:t>.</w:t>
            </w:r>
          </w:p>
        </w:tc>
        <w:tc>
          <w:tcPr>
            <w:tcW w:w="2410" w:type="dxa"/>
          </w:tcPr>
          <w:p w14:paraId="19B29C96" w14:textId="638E4AA9" w:rsidR="00A32220" w:rsidRPr="00CE19D6" w:rsidRDefault="00CE19D6" w:rsidP="008A7426">
            <w:pPr>
              <w:pStyle w:val="C10Tabsted"/>
            </w:pPr>
            <w:r w:rsidRPr="00CE19D6">
              <w:t>Min. 60 cm.</w:t>
            </w:r>
          </w:p>
        </w:tc>
        <w:tc>
          <w:tcPr>
            <w:tcW w:w="2409" w:type="dxa"/>
          </w:tcPr>
          <w:p w14:paraId="742DDC83" w14:textId="503DE285" w:rsidR="00A32220" w:rsidRDefault="00CE19D6" w:rsidP="008A7426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A32220" w14:paraId="7169EBC3" w14:textId="77777777" w:rsidTr="008A7426">
        <w:tc>
          <w:tcPr>
            <w:tcW w:w="961" w:type="dxa"/>
          </w:tcPr>
          <w:p w14:paraId="7C0056B6" w14:textId="6CA707E2" w:rsidR="00A32220" w:rsidRPr="001D4866" w:rsidRDefault="00CE19D6" w:rsidP="008A7426">
            <w:pPr>
              <w:pStyle w:val="C10Tabsted"/>
            </w:pPr>
            <w:r>
              <w:t>1i</w:t>
            </w:r>
          </w:p>
        </w:tc>
        <w:tc>
          <w:tcPr>
            <w:tcW w:w="2721" w:type="dxa"/>
          </w:tcPr>
          <w:p w14:paraId="340B8E23" w14:textId="5C755F5F" w:rsidR="00A32220" w:rsidRPr="001D4866" w:rsidRDefault="00182D35" w:rsidP="001D4866">
            <w:pPr>
              <w:pStyle w:val="C08Tabvlevo"/>
            </w:pPr>
            <w:r w:rsidRPr="001D4866">
              <w:t>Svislé nastavení opěradla minimálně 24,5 cm</w:t>
            </w:r>
          </w:p>
        </w:tc>
        <w:tc>
          <w:tcPr>
            <w:tcW w:w="2410" w:type="dxa"/>
          </w:tcPr>
          <w:p w14:paraId="3A589E85" w14:textId="67330D28" w:rsidR="00A32220" w:rsidRPr="00CE19D6" w:rsidRDefault="00CE19D6" w:rsidP="008A7426">
            <w:pPr>
              <w:pStyle w:val="C10Tabsted"/>
            </w:pPr>
            <w:r w:rsidRPr="00CE19D6">
              <w:t>Min. 24,5 cm.</w:t>
            </w:r>
          </w:p>
        </w:tc>
        <w:tc>
          <w:tcPr>
            <w:tcW w:w="2409" w:type="dxa"/>
          </w:tcPr>
          <w:p w14:paraId="74C62AEE" w14:textId="7127F3D6" w:rsidR="00A32220" w:rsidRDefault="00CE19D6" w:rsidP="008A7426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A32220" w14:paraId="2D48D0B3" w14:textId="77777777" w:rsidTr="008A7426">
        <w:tc>
          <w:tcPr>
            <w:tcW w:w="961" w:type="dxa"/>
          </w:tcPr>
          <w:p w14:paraId="50E6EB15" w14:textId="44B9913E" w:rsidR="00A32220" w:rsidRPr="001D4866" w:rsidRDefault="00CE19D6" w:rsidP="008A7426">
            <w:pPr>
              <w:pStyle w:val="C10Tabsted"/>
            </w:pPr>
            <w:r>
              <w:t>1j</w:t>
            </w:r>
          </w:p>
        </w:tc>
        <w:tc>
          <w:tcPr>
            <w:tcW w:w="2721" w:type="dxa"/>
          </w:tcPr>
          <w:p w14:paraId="45D55D45" w14:textId="14634F59" w:rsidR="00A32220" w:rsidRPr="001D4866" w:rsidRDefault="004A256A" w:rsidP="001D4866">
            <w:pPr>
              <w:pStyle w:val="C08Tabvlevo"/>
            </w:pPr>
            <w:r w:rsidRPr="001D4866">
              <w:t>Sklon opěradla 85°–0°, s mechanickým zajištěním proti nestabilitě.</w:t>
            </w:r>
          </w:p>
        </w:tc>
        <w:tc>
          <w:tcPr>
            <w:tcW w:w="2410" w:type="dxa"/>
          </w:tcPr>
          <w:p w14:paraId="2567F556" w14:textId="57307F9A" w:rsidR="00A32220" w:rsidRPr="00FF4C01" w:rsidRDefault="00D50218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203BB2D8" w14:textId="72AB274A" w:rsidR="00A32220" w:rsidRDefault="00D50218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A32220" w14:paraId="31F40988" w14:textId="77777777" w:rsidTr="008A7426">
        <w:tc>
          <w:tcPr>
            <w:tcW w:w="961" w:type="dxa"/>
          </w:tcPr>
          <w:p w14:paraId="3ADA1121" w14:textId="615481E9" w:rsidR="00A32220" w:rsidRPr="001D4866" w:rsidRDefault="00CE19D6" w:rsidP="008A7426">
            <w:pPr>
              <w:pStyle w:val="C10Tabsted"/>
            </w:pPr>
            <w:r>
              <w:t>1k</w:t>
            </w:r>
          </w:p>
        </w:tc>
        <w:tc>
          <w:tcPr>
            <w:tcW w:w="2721" w:type="dxa"/>
          </w:tcPr>
          <w:p w14:paraId="5ACFEDA9" w14:textId="68586621" w:rsidR="00A32220" w:rsidRPr="001D4866" w:rsidRDefault="001D4866" w:rsidP="001D4866">
            <w:pPr>
              <w:pStyle w:val="C08Tabvlevo"/>
            </w:pPr>
            <w:r w:rsidRPr="001D4866">
              <w:t>Nastavitelný sklon sedací plochy s možností vodorovného (0°) nastavení pro testování vleže.</w:t>
            </w:r>
          </w:p>
        </w:tc>
        <w:tc>
          <w:tcPr>
            <w:tcW w:w="2410" w:type="dxa"/>
          </w:tcPr>
          <w:p w14:paraId="75DD61F4" w14:textId="7A9C1427" w:rsidR="00A32220" w:rsidRPr="00FF4C01" w:rsidRDefault="00D50218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4903CD9E" w14:textId="7E6E9085" w:rsidR="00A32220" w:rsidRDefault="00D50218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CE19D6" w14:paraId="47FE225D" w14:textId="77777777" w:rsidTr="00732C7D">
        <w:tc>
          <w:tcPr>
            <w:tcW w:w="8501" w:type="dxa"/>
            <w:gridSpan w:val="4"/>
          </w:tcPr>
          <w:p w14:paraId="4CF0ABDD" w14:textId="0E2E877C" w:rsidR="00CE19D6" w:rsidRDefault="00CE19D6" w:rsidP="00CE19D6">
            <w:pPr>
              <w:pStyle w:val="C11Tabstedtun"/>
            </w:pPr>
            <w:r>
              <w:t>Paměť a automatické nastavení</w:t>
            </w:r>
          </w:p>
        </w:tc>
      </w:tr>
      <w:tr w:rsidR="00A32220" w14:paraId="6F8F71AC" w14:textId="77777777" w:rsidTr="008A7426">
        <w:tc>
          <w:tcPr>
            <w:tcW w:w="961" w:type="dxa"/>
          </w:tcPr>
          <w:p w14:paraId="4E875B5B" w14:textId="0220C0DF" w:rsidR="00A32220" w:rsidRDefault="009005E5" w:rsidP="008A7426">
            <w:pPr>
              <w:pStyle w:val="C10Tabsted"/>
            </w:pPr>
            <w:proofErr w:type="gramStart"/>
            <w:r>
              <w:t>1l</w:t>
            </w:r>
            <w:proofErr w:type="gramEnd"/>
          </w:p>
        </w:tc>
        <w:tc>
          <w:tcPr>
            <w:tcW w:w="2721" w:type="dxa"/>
          </w:tcPr>
          <w:p w14:paraId="39C89BA2" w14:textId="58E82B6E" w:rsidR="00A32220" w:rsidRPr="009005E5" w:rsidRDefault="001B5977" w:rsidP="009005E5">
            <w:pPr>
              <w:pStyle w:val="C08Tabvlevo"/>
            </w:pPr>
            <w:r w:rsidRPr="009005E5">
              <w:t>Senzorické uložení nastavení pozice sedadla a dynamometru dle testované osoby a roviny pohybu (výška, sklon, poloha osy, sklon a posun opěradla).</w:t>
            </w:r>
          </w:p>
        </w:tc>
        <w:tc>
          <w:tcPr>
            <w:tcW w:w="2410" w:type="dxa"/>
          </w:tcPr>
          <w:p w14:paraId="60076D11" w14:textId="3D14C9D4" w:rsidR="00A32220" w:rsidRPr="00FF4C01" w:rsidRDefault="009005E5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17F00F80" w14:textId="3D259706" w:rsidR="00A32220" w:rsidRDefault="009005E5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A32220" w14:paraId="2CAAE030" w14:textId="77777777" w:rsidTr="008A7426">
        <w:tc>
          <w:tcPr>
            <w:tcW w:w="961" w:type="dxa"/>
          </w:tcPr>
          <w:p w14:paraId="65F222B6" w14:textId="6CCB3315" w:rsidR="00A32220" w:rsidRDefault="009005E5" w:rsidP="008A7426">
            <w:pPr>
              <w:pStyle w:val="C10Tabsted"/>
            </w:pPr>
            <w:proofErr w:type="gramStart"/>
            <w:r>
              <w:t>1m</w:t>
            </w:r>
            <w:proofErr w:type="gramEnd"/>
          </w:p>
        </w:tc>
        <w:tc>
          <w:tcPr>
            <w:tcW w:w="2721" w:type="dxa"/>
          </w:tcPr>
          <w:p w14:paraId="152A8FB0" w14:textId="0C87AAA2" w:rsidR="00A32220" w:rsidRPr="009005E5" w:rsidRDefault="009005E5" w:rsidP="009005E5">
            <w:pPr>
              <w:pStyle w:val="C08Tabvlevo"/>
            </w:pPr>
            <w:r w:rsidRPr="009005E5">
              <w:t>Automatické nastavení pozice sedadla a dynamometru dle individuálně uložených dat (funkce paměti).</w:t>
            </w:r>
          </w:p>
        </w:tc>
        <w:tc>
          <w:tcPr>
            <w:tcW w:w="2410" w:type="dxa"/>
          </w:tcPr>
          <w:p w14:paraId="1CD7182C" w14:textId="618F922B" w:rsidR="00A32220" w:rsidRPr="00FF4C01" w:rsidRDefault="009005E5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02C72389" w14:textId="661FA668" w:rsidR="00A32220" w:rsidRDefault="009005E5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9005E5" w14:paraId="5E41E641" w14:textId="77777777" w:rsidTr="00B93702">
        <w:tc>
          <w:tcPr>
            <w:tcW w:w="8501" w:type="dxa"/>
            <w:gridSpan w:val="4"/>
          </w:tcPr>
          <w:p w14:paraId="45476030" w14:textId="74381897" w:rsidR="009005E5" w:rsidRDefault="009005E5" w:rsidP="009005E5">
            <w:pPr>
              <w:pStyle w:val="C11Tabstedtun"/>
            </w:pPr>
            <w:r>
              <w:t>Fixace horní části těla</w:t>
            </w:r>
          </w:p>
        </w:tc>
      </w:tr>
      <w:tr w:rsidR="009005E5" w14:paraId="156030EF" w14:textId="77777777" w:rsidTr="008A7426">
        <w:tc>
          <w:tcPr>
            <w:tcW w:w="961" w:type="dxa"/>
          </w:tcPr>
          <w:p w14:paraId="79DC98BB" w14:textId="02880CCF" w:rsidR="009005E5" w:rsidRDefault="0098571F" w:rsidP="008A7426">
            <w:pPr>
              <w:pStyle w:val="C10Tabsted"/>
            </w:pPr>
            <w:r>
              <w:lastRenderedPageBreak/>
              <w:t>1n</w:t>
            </w:r>
          </w:p>
        </w:tc>
        <w:tc>
          <w:tcPr>
            <w:tcW w:w="2721" w:type="dxa"/>
          </w:tcPr>
          <w:p w14:paraId="1EDC3CF0" w14:textId="748EF7C0" w:rsidR="009005E5" w:rsidRPr="00344669" w:rsidRDefault="0098571F" w:rsidP="008A7426">
            <w:pPr>
              <w:pStyle w:val="C08Tabvlevo"/>
            </w:pPr>
            <w:r w:rsidRPr="0098571F">
              <w:t>Fixace ve svislé i vodorovné rovině, s integrovanými ramenními polštáři nastavitelnými na výšku, šířku i hloubku, ramenní polštáře není možné nahradit samostatnými pásy.</w:t>
            </w:r>
          </w:p>
        </w:tc>
        <w:tc>
          <w:tcPr>
            <w:tcW w:w="2410" w:type="dxa"/>
          </w:tcPr>
          <w:p w14:paraId="021A9889" w14:textId="018B3815" w:rsidR="009005E5" w:rsidRPr="00FF4C01" w:rsidRDefault="0098571F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515A6EF9" w14:textId="17487884" w:rsidR="009005E5" w:rsidRDefault="0098571F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98571F" w14:paraId="09821F43" w14:textId="77777777" w:rsidTr="00457C64">
        <w:tc>
          <w:tcPr>
            <w:tcW w:w="8501" w:type="dxa"/>
            <w:gridSpan w:val="4"/>
          </w:tcPr>
          <w:p w14:paraId="0D86DABC" w14:textId="1CBA33E9" w:rsidR="0098571F" w:rsidRDefault="0098571F" w:rsidP="0098571F">
            <w:pPr>
              <w:pStyle w:val="C11Tabstedtun"/>
            </w:pPr>
            <w:r>
              <w:t>Požadavky na monitor</w:t>
            </w:r>
          </w:p>
        </w:tc>
      </w:tr>
      <w:tr w:rsidR="009005E5" w14:paraId="6002C1D2" w14:textId="77777777" w:rsidTr="008A7426">
        <w:tc>
          <w:tcPr>
            <w:tcW w:w="961" w:type="dxa"/>
          </w:tcPr>
          <w:p w14:paraId="724EDC77" w14:textId="4BBCAA1D" w:rsidR="009005E5" w:rsidRPr="002C7A01" w:rsidRDefault="002C7A01" w:rsidP="008A7426">
            <w:pPr>
              <w:pStyle w:val="C10Tabsted"/>
            </w:pPr>
            <w:r>
              <w:t>1o</w:t>
            </w:r>
          </w:p>
        </w:tc>
        <w:tc>
          <w:tcPr>
            <w:tcW w:w="2721" w:type="dxa"/>
          </w:tcPr>
          <w:p w14:paraId="566CC062" w14:textId="06FF9ABD" w:rsidR="009005E5" w:rsidRPr="002C7A01" w:rsidRDefault="00306F98" w:rsidP="002C7A01">
            <w:pPr>
              <w:pStyle w:val="C08Tabvlevo"/>
            </w:pPr>
            <w:r w:rsidRPr="002C7A01">
              <w:t>Monitor na pohyblivém rameni s dosahem několika metrů pro ergonomické nastavení vůči testované osobě i obsluze.</w:t>
            </w:r>
          </w:p>
        </w:tc>
        <w:tc>
          <w:tcPr>
            <w:tcW w:w="2410" w:type="dxa"/>
          </w:tcPr>
          <w:p w14:paraId="251D52E2" w14:textId="787CE33C" w:rsidR="009005E5" w:rsidRPr="00FF4C01" w:rsidRDefault="002C7A01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7101756D" w14:textId="319D7527" w:rsidR="009005E5" w:rsidRDefault="002C7A01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9005E5" w14:paraId="60F5725C" w14:textId="77777777" w:rsidTr="008A7426">
        <w:tc>
          <w:tcPr>
            <w:tcW w:w="961" w:type="dxa"/>
          </w:tcPr>
          <w:p w14:paraId="38DBE63A" w14:textId="1686403D" w:rsidR="009005E5" w:rsidRPr="002C7A01" w:rsidRDefault="002C7A01" w:rsidP="008A7426">
            <w:pPr>
              <w:pStyle w:val="C10Tabsted"/>
            </w:pPr>
            <w:proofErr w:type="gramStart"/>
            <w:r>
              <w:t>1p</w:t>
            </w:r>
            <w:proofErr w:type="gramEnd"/>
          </w:p>
        </w:tc>
        <w:tc>
          <w:tcPr>
            <w:tcW w:w="2721" w:type="dxa"/>
          </w:tcPr>
          <w:p w14:paraId="671C13D0" w14:textId="27B2551C" w:rsidR="009005E5" w:rsidRPr="002C7A01" w:rsidRDefault="00551B89" w:rsidP="002C7A01">
            <w:pPr>
              <w:pStyle w:val="C08Tabvlevo"/>
            </w:pPr>
            <w:r w:rsidRPr="002C7A01">
              <w:t>Bez volně ležících kabelů v pracovním prostoru (zamezení zakopnutí).</w:t>
            </w:r>
          </w:p>
        </w:tc>
        <w:tc>
          <w:tcPr>
            <w:tcW w:w="2410" w:type="dxa"/>
          </w:tcPr>
          <w:p w14:paraId="3B30FD1C" w14:textId="6A2666C3" w:rsidR="009005E5" w:rsidRPr="00FF4C01" w:rsidRDefault="002C7A01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616B0040" w14:textId="00A41AE2" w:rsidR="009005E5" w:rsidRDefault="002C7A01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9005E5" w14:paraId="6EF1C8FC" w14:textId="77777777" w:rsidTr="008A7426">
        <w:tc>
          <w:tcPr>
            <w:tcW w:w="961" w:type="dxa"/>
          </w:tcPr>
          <w:p w14:paraId="630EFCB5" w14:textId="572BD44A" w:rsidR="009005E5" w:rsidRPr="002C7A01" w:rsidRDefault="002C7A01" w:rsidP="008A7426">
            <w:pPr>
              <w:pStyle w:val="C10Tabsted"/>
            </w:pPr>
            <w:proofErr w:type="gramStart"/>
            <w:r>
              <w:t>1q</w:t>
            </w:r>
            <w:proofErr w:type="gramEnd"/>
          </w:p>
        </w:tc>
        <w:tc>
          <w:tcPr>
            <w:tcW w:w="2721" w:type="dxa"/>
          </w:tcPr>
          <w:p w14:paraId="5101861E" w14:textId="536A30A7" w:rsidR="009005E5" w:rsidRPr="002C7A01" w:rsidRDefault="00BB179A" w:rsidP="002C7A01">
            <w:pPr>
              <w:pStyle w:val="C08Tabvlevo"/>
            </w:pPr>
            <w:r w:rsidRPr="002C7A01">
              <w:t>Při pozici vleže možnost umístit monitor nad tělo testované osoby pro přirozené zorné pole.</w:t>
            </w:r>
          </w:p>
        </w:tc>
        <w:tc>
          <w:tcPr>
            <w:tcW w:w="2410" w:type="dxa"/>
          </w:tcPr>
          <w:p w14:paraId="428308FC" w14:textId="5E412B51" w:rsidR="009005E5" w:rsidRPr="00FF4C01" w:rsidRDefault="002C7A01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37FC8E74" w14:textId="32A80F0B" w:rsidR="009005E5" w:rsidRDefault="002C7A01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A32220" w14:paraId="55C6DA7E" w14:textId="77777777" w:rsidTr="008A7426">
        <w:tc>
          <w:tcPr>
            <w:tcW w:w="961" w:type="dxa"/>
          </w:tcPr>
          <w:p w14:paraId="07A96702" w14:textId="7B7ED6D2" w:rsidR="00A32220" w:rsidRPr="002C7A01" w:rsidRDefault="002C7A01" w:rsidP="008A7426">
            <w:pPr>
              <w:pStyle w:val="C10Tabsted"/>
            </w:pPr>
            <w:proofErr w:type="gramStart"/>
            <w:r>
              <w:t>1r</w:t>
            </w:r>
            <w:proofErr w:type="gramEnd"/>
          </w:p>
        </w:tc>
        <w:tc>
          <w:tcPr>
            <w:tcW w:w="2721" w:type="dxa"/>
          </w:tcPr>
          <w:p w14:paraId="08E167D6" w14:textId="2EE897B7" w:rsidR="00A32220" w:rsidRPr="002C7A01" w:rsidRDefault="002C7A01" w:rsidP="002C7A01">
            <w:pPr>
              <w:pStyle w:val="C08Tabvlevo"/>
            </w:pPr>
            <w:r w:rsidRPr="002C7A01">
              <w:t>Výškově nastavitelný alespoň o 40 cm, pro správné nasměrování monitoru vůči očím testovaného i operátora.</w:t>
            </w:r>
          </w:p>
        </w:tc>
        <w:tc>
          <w:tcPr>
            <w:tcW w:w="2410" w:type="dxa"/>
          </w:tcPr>
          <w:p w14:paraId="4A592162" w14:textId="0527B286" w:rsidR="00A32220" w:rsidRPr="00FF4C01" w:rsidRDefault="002C7A01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58627F9F" w14:textId="7455E2A6" w:rsidR="00A32220" w:rsidRDefault="002C7A01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87AD5" w14:paraId="4C3DE0C3" w14:textId="77777777" w:rsidTr="00C10117">
        <w:tc>
          <w:tcPr>
            <w:tcW w:w="8501" w:type="dxa"/>
            <w:gridSpan w:val="4"/>
          </w:tcPr>
          <w:p w14:paraId="426588CC" w14:textId="096B232C" w:rsidR="00087AD5" w:rsidRDefault="00087AD5" w:rsidP="00087AD5">
            <w:pPr>
              <w:pStyle w:val="C11Tabstedtun"/>
            </w:pPr>
            <w:r>
              <w:t>Zarovnání a stabilizace</w:t>
            </w:r>
          </w:p>
        </w:tc>
      </w:tr>
      <w:tr w:rsidR="0098571F" w14:paraId="303C69B8" w14:textId="77777777" w:rsidTr="008A7426">
        <w:tc>
          <w:tcPr>
            <w:tcW w:w="961" w:type="dxa"/>
          </w:tcPr>
          <w:p w14:paraId="78B851F8" w14:textId="6FE89A9D" w:rsidR="0098571F" w:rsidRDefault="002B4EF5" w:rsidP="008A7426">
            <w:pPr>
              <w:pStyle w:val="C10Tabsted"/>
            </w:pPr>
            <w:proofErr w:type="gramStart"/>
            <w:r>
              <w:t>1s</w:t>
            </w:r>
            <w:proofErr w:type="gramEnd"/>
          </w:p>
        </w:tc>
        <w:tc>
          <w:tcPr>
            <w:tcW w:w="2721" w:type="dxa"/>
          </w:tcPr>
          <w:p w14:paraId="522D8576" w14:textId="2E997F89" w:rsidR="0098571F" w:rsidRPr="002B4EF5" w:rsidRDefault="007822A8" w:rsidP="002B4EF5">
            <w:pPr>
              <w:pStyle w:val="C08Tabvlevo"/>
            </w:pPr>
            <w:r w:rsidRPr="002B4EF5">
              <w:rPr>
                <w:rStyle w:val="Siln"/>
                <w:b w:val="0"/>
                <w:bCs w:val="0"/>
              </w:rPr>
              <w:t>Laserové zarovnání osy dynamometru na kloubní osu testované osoby pro maximální přesnost</w:t>
            </w:r>
            <w:r w:rsidR="002B4EF5" w:rsidRPr="002B4EF5">
              <w:rPr>
                <w:rStyle w:val="Siln"/>
                <w:b w:val="0"/>
                <w:bCs w:val="0"/>
              </w:rPr>
              <w:t>.</w:t>
            </w:r>
          </w:p>
        </w:tc>
        <w:tc>
          <w:tcPr>
            <w:tcW w:w="2410" w:type="dxa"/>
          </w:tcPr>
          <w:p w14:paraId="3765EF23" w14:textId="16BD4F73" w:rsidR="0098571F" w:rsidRPr="00FF4C01" w:rsidRDefault="002B4EF5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5C93E170" w14:textId="26FFDF0F" w:rsidR="0098571F" w:rsidRDefault="002B4EF5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98571F" w14:paraId="7022C23F" w14:textId="77777777" w:rsidTr="008A7426">
        <w:tc>
          <w:tcPr>
            <w:tcW w:w="961" w:type="dxa"/>
          </w:tcPr>
          <w:p w14:paraId="067D1444" w14:textId="083276C1" w:rsidR="0098571F" w:rsidRDefault="002B4EF5" w:rsidP="008A7426">
            <w:pPr>
              <w:pStyle w:val="C10Tabsted"/>
            </w:pPr>
            <w:proofErr w:type="gramStart"/>
            <w:r>
              <w:t>1t</w:t>
            </w:r>
            <w:proofErr w:type="gramEnd"/>
          </w:p>
        </w:tc>
        <w:tc>
          <w:tcPr>
            <w:tcW w:w="2721" w:type="dxa"/>
          </w:tcPr>
          <w:p w14:paraId="077F2170" w14:textId="51BE6B48" w:rsidR="0098571F" w:rsidRPr="002B4EF5" w:rsidRDefault="002B4EF5" w:rsidP="002B4EF5">
            <w:pPr>
              <w:pStyle w:val="C08Tabvlevo"/>
            </w:pPr>
            <w:r w:rsidRPr="002B4EF5">
              <w:t>Posuvný systém s možností uchycení adaptérů na obou stranách sedadla/lavice – umožňuje individuální stabilizaci a izolaci kloubu.</w:t>
            </w:r>
          </w:p>
        </w:tc>
        <w:tc>
          <w:tcPr>
            <w:tcW w:w="2410" w:type="dxa"/>
          </w:tcPr>
          <w:p w14:paraId="33328A06" w14:textId="779DAE2A" w:rsidR="0098571F" w:rsidRPr="00FF4C01" w:rsidRDefault="002B4EF5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34E5D4D5" w14:textId="411CFA45" w:rsidR="0098571F" w:rsidRDefault="002B4EF5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4EF5" w14:paraId="2750366B" w14:textId="77777777" w:rsidTr="003B705A">
        <w:tc>
          <w:tcPr>
            <w:tcW w:w="8501" w:type="dxa"/>
            <w:gridSpan w:val="4"/>
          </w:tcPr>
          <w:p w14:paraId="21A08D0F" w14:textId="6AB7BF7D" w:rsidR="002B4EF5" w:rsidRDefault="002B4EF5" w:rsidP="002B4EF5">
            <w:pPr>
              <w:pStyle w:val="C11Tabstedtun"/>
            </w:pPr>
            <w:r>
              <w:t>Software, výstup dat a vizualizace</w:t>
            </w:r>
          </w:p>
        </w:tc>
      </w:tr>
      <w:tr w:rsidR="0098571F" w14:paraId="307B51F5" w14:textId="77777777" w:rsidTr="008A7426">
        <w:tc>
          <w:tcPr>
            <w:tcW w:w="961" w:type="dxa"/>
          </w:tcPr>
          <w:p w14:paraId="42D94251" w14:textId="6B173E92" w:rsidR="0098571F" w:rsidRDefault="006B3C15" w:rsidP="008A7426">
            <w:pPr>
              <w:pStyle w:val="C10Tabsted"/>
            </w:pPr>
            <w:proofErr w:type="gramStart"/>
            <w:r>
              <w:t>1u</w:t>
            </w:r>
            <w:proofErr w:type="gramEnd"/>
          </w:p>
        </w:tc>
        <w:tc>
          <w:tcPr>
            <w:tcW w:w="2721" w:type="dxa"/>
          </w:tcPr>
          <w:p w14:paraId="23D1F804" w14:textId="7335155C" w:rsidR="0098571F" w:rsidRPr="006B3C15" w:rsidRDefault="003F3597" w:rsidP="006B3C15">
            <w:pPr>
              <w:pStyle w:val="C08Tabvlevo"/>
            </w:pPr>
            <w:r w:rsidRPr="006B3C15">
              <w:t>Software umožňující záznam měření, základní zpracování dat a jejich export.</w:t>
            </w:r>
          </w:p>
        </w:tc>
        <w:tc>
          <w:tcPr>
            <w:tcW w:w="2410" w:type="dxa"/>
          </w:tcPr>
          <w:p w14:paraId="49247C15" w14:textId="0B15BA15" w:rsidR="0098571F" w:rsidRPr="00FF4C01" w:rsidRDefault="006B3C15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17B9082D" w14:textId="52711416" w:rsidR="0098571F" w:rsidRDefault="006B3C15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98571F" w14:paraId="17DB7AA9" w14:textId="77777777" w:rsidTr="008A7426">
        <w:tc>
          <w:tcPr>
            <w:tcW w:w="961" w:type="dxa"/>
          </w:tcPr>
          <w:p w14:paraId="43FDA02B" w14:textId="2419681A" w:rsidR="0098571F" w:rsidRDefault="006B3C15" w:rsidP="008A7426">
            <w:pPr>
              <w:pStyle w:val="C10Tabsted"/>
            </w:pPr>
            <w:r>
              <w:t>1v</w:t>
            </w:r>
          </w:p>
        </w:tc>
        <w:tc>
          <w:tcPr>
            <w:tcW w:w="2721" w:type="dxa"/>
          </w:tcPr>
          <w:p w14:paraId="73F66DA1" w14:textId="2068065E" w:rsidR="0098571F" w:rsidRPr="006B3C15" w:rsidRDefault="000F763A" w:rsidP="006B3C15">
            <w:pPr>
              <w:pStyle w:val="C08Tabvlevo"/>
            </w:pPr>
            <w:r w:rsidRPr="006B3C15">
              <w:t>Export surových dat s frekvencí min. 200 Hz (5 ms) včetně měřených hodnot, údajů o testu a nastavení.</w:t>
            </w:r>
          </w:p>
        </w:tc>
        <w:tc>
          <w:tcPr>
            <w:tcW w:w="2410" w:type="dxa"/>
          </w:tcPr>
          <w:p w14:paraId="4FD8BBCA" w14:textId="5B905E97" w:rsidR="0098571F" w:rsidRPr="00FF4C01" w:rsidRDefault="006B3C15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48A9096D" w14:textId="571C7D76" w:rsidR="0098571F" w:rsidRDefault="006B3C15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98571F" w14:paraId="067EDAB2" w14:textId="77777777" w:rsidTr="008A7426">
        <w:tc>
          <w:tcPr>
            <w:tcW w:w="961" w:type="dxa"/>
          </w:tcPr>
          <w:p w14:paraId="2A50B1EE" w14:textId="1CC65E44" w:rsidR="0098571F" w:rsidRDefault="006B3C15" w:rsidP="008A7426">
            <w:pPr>
              <w:pStyle w:val="C10Tabsted"/>
            </w:pPr>
            <w:r>
              <w:t>1w</w:t>
            </w:r>
          </w:p>
        </w:tc>
        <w:tc>
          <w:tcPr>
            <w:tcW w:w="2721" w:type="dxa"/>
          </w:tcPr>
          <w:p w14:paraId="74C6B400" w14:textId="1BE7ED7E" w:rsidR="0098571F" w:rsidRPr="006B3C15" w:rsidRDefault="0026617B" w:rsidP="006B3C15">
            <w:pPr>
              <w:pStyle w:val="C08Tabvlevo"/>
            </w:pPr>
            <w:r w:rsidRPr="006B3C15">
              <w:t>Analogový výstup ±5 V pro simultánní snímání momentu a úhlu během pohybu.</w:t>
            </w:r>
          </w:p>
        </w:tc>
        <w:tc>
          <w:tcPr>
            <w:tcW w:w="2410" w:type="dxa"/>
          </w:tcPr>
          <w:p w14:paraId="05F45B37" w14:textId="4C89B214" w:rsidR="0098571F" w:rsidRPr="00FF4C01" w:rsidRDefault="006B3C15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0A5C0029" w14:textId="7B06002A" w:rsidR="0098571F" w:rsidRDefault="006B3C15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98571F" w14:paraId="3C7925CD" w14:textId="77777777" w:rsidTr="008A7426">
        <w:tc>
          <w:tcPr>
            <w:tcW w:w="961" w:type="dxa"/>
          </w:tcPr>
          <w:p w14:paraId="7BA4230D" w14:textId="06598D44" w:rsidR="0098571F" w:rsidRDefault="006B3C15" w:rsidP="008A7426">
            <w:pPr>
              <w:pStyle w:val="C10Tabsted"/>
            </w:pPr>
            <w:r>
              <w:t>1x</w:t>
            </w:r>
          </w:p>
        </w:tc>
        <w:tc>
          <w:tcPr>
            <w:tcW w:w="2721" w:type="dxa"/>
          </w:tcPr>
          <w:p w14:paraId="62E19E4F" w14:textId="1DD9D522" w:rsidR="0098571F" w:rsidRPr="006B3C15" w:rsidRDefault="005139AB" w:rsidP="006B3C15">
            <w:pPr>
              <w:pStyle w:val="C08Tabvlevo"/>
            </w:pPr>
            <w:r w:rsidRPr="006B3C15">
              <w:t>Reálná vizualizace v grafickém rozhraní – zobrazení křivky momentu vůči pozici jako biofeedback.</w:t>
            </w:r>
          </w:p>
        </w:tc>
        <w:tc>
          <w:tcPr>
            <w:tcW w:w="2410" w:type="dxa"/>
          </w:tcPr>
          <w:p w14:paraId="04832ED2" w14:textId="59818055" w:rsidR="0098571F" w:rsidRPr="00FF4C01" w:rsidRDefault="006B3C15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37A7D3E7" w14:textId="30414578" w:rsidR="0098571F" w:rsidRDefault="006B3C15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98571F" w14:paraId="60109E17" w14:textId="77777777" w:rsidTr="008A7426">
        <w:tc>
          <w:tcPr>
            <w:tcW w:w="961" w:type="dxa"/>
          </w:tcPr>
          <w:p w14:paraId="0B7C77D1" w14:textId="23355B71" w:rsidR="0098571F" w:rsidRDefault="006B3C15" w:rsidP="008A7426">
            <w:pPr>
              <w:pStyle w:val="C10Tabsted"/>
            </w:pPr>
            <w:r>
              <w:lastRenderedPageBreak/>
              <w:t>1y</w:t>
            </w:r>
          </w:p>
        </w:tc>
        <w:tc>
          <w:tcPr>
            <w:tcW w:w="2721" w:type="dxa"/>
          </w:tcPr>
          <w:p w14:paraId="410D37B6" w14:textId="12B4339A" w:rsidR="0098571F" w:rsidRPr="006B3C15" w:rsidRDefault="006B3C15" w:rsidP="006B3C15">
            <w:pPr>
              <w:pStyle w:val="C08Tabvlevo"/>
            </w:pPr>
            <w:r w:rsidRPr="006B3C15">
              <w:t>Možnost ukládat a zobrazovat referenční křivky (škálovatelné, pro konkrétní cvičení a osobu) a překrývat je při měření.</w:t>
            </w:r>
          </w:p>
        </w:tc>
        <w:tc>
          <w:tcPr>
            <w:tcW w:w="2410" w:type="dxa"/>
          </w:tcPr>
          <w:p w14:paraId="331F1018" w14:textId="58251944" w:rsidR="0098571F" w:rsidRPr="00FF4C01" w:rsidRDefault="006B3C15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49B92D6D" w14:textId="5312C9F6" w:rsidR="0098571F" w:rsidRDefault="006B3C15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6B3C15" w14:paraId="779B07B9" w14:textId="77777777" w:rsidTr="002C4219">
        <w:tc>
          <w:tcPr>
            <w:tcW w:w="8501" w:type="dxa"/>
            <w:gridSpan w:val="4"/>
          </w:tcPr>
          <w:p w14:paraId="4799F00D" w14:textId="61C8F63A" w:rsidR="006B3C15" w:rsidRDefault="006B3C15" w:rsidP="006B3C15">
            <w:pPr>
              <w:pStyle w:val="C11Tabstedtun"/>
            </w:pPr>
            <w:r>
              <w:t>Modulová kompatibilita</w:t>
            </w:r>
          </w:p>
        </w:tc>
      </w:tr>
      <w:tr w:rsidR="0026617B" w14:paraId="1AEED6C0" w14:textId="77777777" w:rsidTr="008A7426">
        <w:tc>
          <w:tcPr>
            <w:tcW w:w="961" w:type="dxa"/>
          </w:tcPr>
          <w:p w14:paraId="4A02C794" w14:textId="52B52684" w:rsidR="0026617B" w:rsidRDefault="006B3C15" w:rsidP="008A7426">
            <w:pPr>
              <w:pStyle w:val="C10Tabsted"/>
            </w:pPr>
            <w:r>
              <w:t>1z</w:t>
            </w:r>
          </w:p>
        </w:tc>
        <w:tc>
          <w:tcPr>
            <w:tcW w:w="2721" w:type="dxa"/>
          </w:tcPr>
          <w:p w14:paraId="67AF60B0" w14:textId="1C408FE2" w:rsidR="0026617B" w:rsidRPr="00344669" w:rsidRDefault="00D91A58" w:rsidP="008A7426">
            <w:pPr>
              <w:pStyle w:val="C08Tabvlevo"/>
            </w:pPr>
            <w:r w:rsidRPr="00D91A58">
              <w:t>Torzně tuhá spojka pro připojení a sdílení měřicí/pohonné jednotky s dalšími moduly (rotační nebo lineární – leg-press).</w:t>
            </w:r>
          </w:p>
        </w:tc>
        <w:tc>
          <w:tcPr>
            <w:tcW w:w="2410" w:type="dxa"/>
          </w:tcPr>
          <w:p w14:paraId="4E1D3DAB" w14:textId="10EB4BF8" w:rsidR="0026617B" w:rsidRPr="00FF4C01" w:rsidRDefault="00D91A58" w:rsidP="008A7426">
            <w:pPr>
              <w:pStyle w:val="C10Tabsted"/>
              <w:rPr>
                <w:highlight w:val="yellow"/>
              </w:rPr>
            </w:pPr>
            <w:r w:rsidRPr="00651B43">
              <w:t>ANO</w:t>
            </w:r>
          </w:p>
        </w:tc>
        <w:tc>
          <w:tcPr>
            <w:tcW w:w="2409" w:type="dxa"/>
          </w:tcPr>
          <w:p w14:paraId="52D39B04" w14:textId="69D35828" w:rsidR="0026617B" w:rsidRDefault="00D91A58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D23FB41" w14:textId="4AEB7EB5" w:rsidR="00112B3F" w:rsidRDefault="00112B3F" w:rsidP="00112B3F">
      <w:pPr>
        <w:pStyle w:val="A05Odstneslovan"/>
      </w:pPr>
    </w:p>
    <w:p w14:paraId="56BB6CC2" w14:textId="77777777" w:rsidR="00243AA3" w:rsidRPr="009B4500" w:rsidRDefault="00243AA3" w:rsidP="009B4500">
      <w:pPr>
        <w:pStyle w:val="B01Zkladntext"/>
      </w:pPr>
    </w:p>
    <w:sectPr w:rsidR="00243AA3" w:rsidRPr="009B4500" w:rsidSect="00106025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635F" w14:textId="77777777" w:rsidR="00140D30" w:rsidRDefault="00140D30" w:rsidP="00F15613">
      <w:pPr>
        <w:spacing w:line="240" w:lineRule="auto"/>
      </w:pPr>
      <w:r>
        <w:separator/>
      </w:r>
    </w:p>
  </w:endnote>
  <w:endnote w:type="continuationSeparator" w:id="0">
    <w:p w14:paraId="2670AB2D" w14:textId="77777777" w:rsidR="00140D30" w:rsidRDefault="00140D30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6268" w14:textId="77777777" w:rsidR="00140D30" w:rsidRDefault="00140D30" w:rsidP="00F15613">
      <w:pPr>
        <w:spacing w:line="240" w:lineRule="auto"/>
      </w:pPr>
      <w:r>
        <w:separator/>
      </w:r>
    </w:p>
  </w:footnote>
  <w:footnote w:type="continuationSeparator" w:id="0">
    <w:p w14:paraId="5E8C934D" w14:textId="77777777" w:rsidR="00140D30" w:rsidRDefault="00140D30" w:rsidP="00F15613">
      <w:pPr>
        <w:spacing w:line="240" w:lineRule="auto"/>
      </w:pPr>
      <w:r>
        <w:continuationSeparator/>
      </w:r>
    </w:p>
  </w:footnote>
  <w:footnote w:id="1">
    <w:p w14:paraId="7FB19E51" w14:textId="77777777" w:rsidR="00664017" w:rsidRPr="008A7426" w:rsidRDefault="00664017" w:rsidP="00664017">
      <w:pPr>
        <w:pStyle w:val="Textpoznpodarou"/>
        <w:rPr>
          <w:sz w:val="16"/>
          <w:szCs w:val="16"/>
        </w:rPr>
      </w:pPr>
      <w:r w:rsidRPr="008A7426">
        <w:rPr>
          <w:rStyle w:val="Znakapoznpodarou"/>
          <w:sz w:val="16"/>
          <w:szCs w:val="16"/>
        </w:rPr>
        <w:footnoteRef/>
      </w:r>
      <w:r w:rsidRPr="008A7426">
        <w:rPr>
          <w:sz w:val="16"/>
          <w:szCs w:val="16"/>
        </w:rPr>
        <w:t xml:space="preserve">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8A7426">
          <w:rPr>
            <w:rStyle w:val="Hypertextovodkaz"/>
            <w:sz w:val="16"/>
            <w:szCs w:val="16"/>
          </w:rPr>
          <w:t>https://publications.europa.eu/cs</w:t>
        </w:r>
      </w:hyperlink>
      <w:r w:rsidRPr="008A74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276417A9" w:rsidR="00F15613" w:rsidRDefault="004C421F">
    <w:pPr>
      <w:pStyle w:val="Zhlav"/>
    </w:pPr>
    <w:r w:rsidRPr="0075756C">
      <w:rPr>
        <w:noProof/>
        <w:lang w:eastAsia="cs-CZ"/>
      </w:rPr>
      <w:drawing>
        <wp:inline distT="0" distB="0" distL="0" distR="0" wp14:anchorId="45EC7294" wp14:editId="1AF47CD9">
          <wp:extent cx="5759450" cy="822960"/>
          <wp:effectExtent l="0" t="0" r="0" b="0"/>
          <wp:docPr id="232508334" name="Obrázek 1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508334" name="Obrázek 1" descr="Obsah obrázku text, Písmo, Elektricky modrá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78F"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01CBCACC" wp14:editId="69186DB5">
          <wp:simplePos x="0" y="0"/>
          <wp:positionH relativeFrom="page">
            <wp:posOffset>759460</wp:posOffset>
          </wp:positionH>
          <wp:positionV relativeFrom="page">
            <wp:posOffset>2017395</wp:posOffset>
          </wp:positionV>
          <wp:extent cx="2324735" cy="719455"/>
          <wp:effectExtent l="0" t="0" r="0" b="4445"/>
          <wp:wrapTopAndBottom/>
          <wp:docPr id="660619319" name="Obrázek 660619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5475"/>
    <w:multiLevelType w:val="hybridMultilevel"/>
    <w:tmpl w:val="A3A44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66656"/>
    <w:multiLevelType w:val="hybridMultilevel"/>
    <w:tmpl w:val="9766C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76815">
    <w:abstractNumId w:val="3"/>
  </w:num>
  <w:num w:numId="2" w16cid:durableId="209541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4073845">
    <w:abstractNumId w:val="2"/>
  </w:num>
  <w:num w:numId="4" w16cid:durableId="1320384508">
    <w:abstractNumId w:val="0"/>
  </w:num>
  <w:num w:numId="5" w16cid:durableId="1508136048">
    <w:abstractNumId w:val="4"/>
  </w:num>
  <w:num w:numId="6" w16cid:durableId="893352071">
    <w:abstractNumId w:val="1"/>
  </w:num>
  <w:num w:numId="7" w16cid:durableId="860708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47C7"/>
    <w:rsid w:val="00021ED0"/>
    <w:rsid w:val="00031902"/>
    <w:rsid w:val="000329AF"/>
    <w:rsid w:val="00035B3C"/>
    <w:rsid w:val="00041950"/>
    <w:rsid w:val="0004502E"/>
    <w:rsid w:val="00051BEA"/>
    <w:rsid w:val="00060D45"/>
    <w:rsid w:val="000662AB"/>
    <w:rsid w:val="0007026C"/>
    <w:rsid w:val="00076D47"/>
    <w:rsid w:val="00082DDA"/>
    <w:rsid w:val="00085C7A"/>
    <w:rsid w:val="0008601F"/>
    <w:rsid w:val="00087AD5"/>
    <w:rsid w:val="000933E9"/>
    <w:rsid w:val="000A1B51"/>
    <w:rsid w:val="000D66D1"/>
    <w:rsid w:val="000D7F73"/>
    <w:rsid w:val="000E3A1C"/>
    <w:rsid w:val="000F0D39"/>
    <w:rsid w:val="000F0F3C"/>
    <w:rsid w:val="000F49AD"/>
    <w:rsid w:val="000F763A"/>
    <w:rsid w:val="0010566D"/>
    <w:rsid w:val="00106025"/>
    <w:rsid w:val="00112B3F"/>
    <w:rsid w:val="00131FA5"/>
    <w:rsid w:val="00132D48"/>
    <w:rsid w:val="00135791"/>
    <w:rsid w:val="001367A1"/>
    <w:rsid w:val="00140D30"/>
    <w:rsid w:val="00146FF1"/>
    <w:rsid w:val="00166464"/>
    <w:rsid w:val="00182D35"/>
    <w:rsid w:val="0019113F"/>
    <w:rsid w:val="00191F77"/>
    <w:rsid w:val="00192490"/>
    <w:rsid w:val="001A007A"/>
    <w:rsid w:val="001A1F45"/>
    <w:rsid w:val="001B58D8"/>
    <w:rsid w:val="001B5977"/>
    <w:rsid w:val="001C1CA9"/>
    <w:rsid w:val="001C5736"/>
    <w:rsid w:val="001D3A83"/>
    <w:rsid w:val="001D47A7"/>
    <w:rsid w:val="001D4866"/>
    <w:rsid w:val="001E0F01"/>
    <w:rsid w:val="001E270A"/>
    <w:rsid w:val="001E4104"/>
    <w:rsid w:val="001E46BD"/>
    <w:rsid w:val="001E7FD5"/>
    <w:rsid w:val="001F2BA9"/>
    <w:rsid w:val="002004C5"/>
    <w:rsid w:val="00203D7B"/>
    <w:rsid w:val="002042DB"/>
    <w:rsid w:val="00217796"/>
    <w:rsid w:val="00221102"/>
    <w:rsid w:val="00225717"/>
    <w:rsid w:val="00242FE1"/>
    <w:rsid w:val="00243AA3"/>
    <w:rsid w:val="00251AF4"/>
    <w:rsid w:val="00252FC2"/>
    <w:rsid w:val="002622ED"/>
    <w:rsid w:val="00264607"/>
    <w:rsid w:val="0026617B"/>
    <w:rsid w:val="002723BF"/>
    <w:rsid w:val="00273620"/>
    <w:rsid w:val="00273DE8"/>
    <w:rsid w:val="00276D6B"/>
    <w:rsid w:val="00285D3A"/>
    <w:rsid w:val="002927EB"/>
    <w:rsid w:val="002A2639"/>
    <w:rsid w:val="002A5104"/>
    <w:rsid w:val="002B06B5"/>
    <w:rsid w:val="002B4EF5"/>
    <w:rsid w:val="002B6B41"/>
    <w:rsid w:val="002C2508"/>
    <w:rsid w:val="002C6171"/>
    <w:rsid w:val="002C7A01"/>
    <w:rsid w:val="002C7E14"/>
    <w:rsid w:val="002D251D"/>
    <w:rsid w:val="002D312D"/>
    <w:rsid w:val="002D527C"/>
    <w:rsid w:val="002E3612"/>
    <w:rsid w:val="002E6421"/>
    <w:rsid w:val="002F0EC4"/>
    <w:rsid w:val="002F20B2"/>
    <w:rsid w:val="00306F98"/>
    <w:rsid w:val="00314426"/>
    <w:rsid w:val="00314867"/>
    <w:rsid w:val="003158F4"/>
    <w:rsid w:val="00317978"/>
    <w:rsid w:val="00322101"/>
    <w:rsid w:val="00323497"/>
    <w:rsid w:val="0032357F"/>
    <w:rsid w:val="00331D95"/>
    <w:rsid w:val="00333FE6"/>
    <w:rsid w:val="00344669"/>
    <w:rsid w:val="0034609A"/>
    <w:rsid w:val="00351DE3"/>
    <w:rsid w:val="00367884"/>
    <w:rsid w:val="003705E8"/>
    <w:rsid w:val="00385A31"/>
    <w:rsid w:val="00387AE9"/>
    <w:rsid w:val="0039272C"/>
    <w:rsid w:val="003A1471"/>
    <w:rsid w:val="003A27F5"/>
    <w:rsid w:val="003A4119"/>
    <w:rsid w:val="003B3C43"/>
    <w:rsid w:val="003B5043"/>
    <w:rsid w:val="003B6448"/>
    <w:rsid w:val="003C0332"/>
    <w:rsid w:val="003C4652"/>
    <w:rsid w:val="003E3907"/>
    <w:rsid w:val="003F1691"/>
    <w:rsid w:val="003F3597"/>
    <w:rsid w:val="003F5293"/>
    <w:rsid w:val="003F64F5"/>
    <w:rsid w:val="0040051B"/>
    <w:rsid w:val="00406B96"/>
    <w:rsid w:val="00420847"/>
    <w:rsid w:val="0042754B"/>
    <w:rsid w:val="00430F25"/>
    <w:rsid w:val="00430FF8"/>
    <w:rsid w:val="00433E17"/>
    <w:rsid w:val="004558A6"/>
    <w:rsid w:val="00476D40"/>
    <w:rsid w:val="004853C3"/>
    <w:rsid w:val="00486300"/>
    <w:rsid w:val="0049534A"/>
    <w:rsid w:val="004976D3"/>
    <w:rsid w:val="004A256A"/>
    <w:rsid w:val="004A2C9D"/>
    <w:rsid w:val="004A3D87"/>
    <w:rsid w:val="004C110F"/>
    <w:rsid w:val="004C421F"/>
    <w:rsid w:val="004D171B"/>
    <w:rsid w:val="004E0FBA"/>
    <w:rsid w:val="004E49AF"/>
    <w:rsid w:val="004F23D4"/>
    <w:rsid w:val="004F6CC4"/>
    <w:rsid w:val="00502BEF"/>
    <w:rsid w:val="00507862"/>
    <w:rsid w:val="005139AB"/>
    <w:rsid w:val="0051583F"/>
    <w:rsid w:val="005168E0"/>
    <w:rsid w:val="00525632"/>
    <w:rsid w:val="00540537"/>
    <w:rsid w:val="0055048A"/>
    <w:rsid w:val="00551B89"/>
    <w:rsid w:val="00553280"/>
    <w:rsid w:val="005533A6"/>
    <w:rsid w:val="00561203"/>
    <w:rsid w:val="00573C0C"/>
    <w:rsid w:val="00575AE3"/>
    <w:rsid w:val="00575E1C"/>
    <w:rsid w:val="005766D3"/>
    <w:rsid w:val="0058545C"/>
    <w:rsid w:val="00592155"/>
    <w:rsid w:val="005A6102"/>
    <w:rsid w:val="005A658C"/>
    <w:rsid w:val="005B64B8"/>
    <w:rsid w:val="005B6853"/>
    <w:rsid w:val="005C2BD0"/>
    <w:rsid w:val="005C3B92"/>
    <w:rsid w:val="005D1BFB"/>
    <w:rsid w:val="005D7D61"/>
    <w:rsid w:val="005E387A"/>
    <w:rsid w:val="005E4388"/>
    <w:rsid w:val="005E7C2B"/>
    <w:rsid w:val="00610784"/>
    <w:rsid w:val="00610FBD"/>
    <w:rsid w:val="00615B61"/>
    <w:rsid w:val="006233A2"/>
    <w:rsid w:val="00630E8A"/>
    <w:rsid w:val="00651906"/>
    <w:rsid w:val="00651B43"/>
    <w:rsid w:val="00652FBC"/>
    <w:rsid w:val="00656FF9"/>
    <w:rsid w:val="00663401"/>
    <w:rsid w:val="00664017"/>
    <w:rsid w:val="00673EAE"/>
    <w:rsid w:val="00680944"/>
    <w:rsid w:val="00695FD9"/>
    <w:rsid w:val="00696027"/>
    <w:rsid w:val="006979CD"/>
    <w:rsid w:val="006A091C"/>
    <w:rsid w:val="006A097F"/>
    <w:rsid w:val="006A2E6F"/>
    <w:rsid w:val="006A494C"/>
    <w:rsid w:val="006B22CE"/>
    <w:rsid w:val="006B3C15"/>
    <w:rsid w:val="006D1E4A"/>
    <w:rsid w:val="006E1365"/>
    <w:rsid w:val="006E3956"/>
    <w:rsid w:val="006E7E92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40F5C"/>
    <w:rsid w:val="00754F6C"/>
    <w:rsid w:val="00755268"/>
    <w:rsid w:val="0076146D"/>
    <w:rsid w:val="00761D2E"/>
    <w:rsid w:val="00780A43"/>
    <w:rsid w:val="007822A8"/>
    <w:rsid w:val="00792D30"/>
    <w:rsid w:val="00795177"/>
    <w:rsid w:val="007A6186"/>
    <w:rsid w:val="007A66AA"/>
    <w:rsid w:val="007B01C6"/>
    <w:rsid w:val="007B76E5"/>
    <w:rsid w:val="007C1206"/>
    <w:rsid w:val="007D28ED"/>
    <w:rsid w:val="007E1004"/>
    <w:rsid w:val="007E3C26"/>
    <w:rsid w:val="007E7907"/>
    <w:rsid w:val="007F1F95"/>
    <w:rsid w:val="007F2334"/>
    <w:rsid w:val="007F6FCC"/>
    <w:rsid w:val="0080653E"/>
    <w:rsid w:val="00812AE1"/>
    <w:rsid w:val="00816CCC"/>
    <w:rsid w:val="0082695A"/>
    <w:rsid w:val="00833A8A"/>
    <w:rsid w:val="008348A5"/>
    <w:rsid w:val="00834D91"/>
    <w:rsid w:val="00837812"/>
    <w:rsid w:val="008400E1"/>
    <w:rsid w:val="00840614"/>
    <w:rsid w:val="00841C3C"/>
    <w:rsid w:val="00862C56"/>
    <w:rsid w:val="00872B81"/>
    <w:rsid w:val="008849D1"/>
    <w:rsid w:val="008A3311"/>
    <w:rsid w:val="008B0EC4"/>
    <w:rsid w:val="008D14B6"/>
    <w:rsid w:val="008D1CEF"/>
    <w:rsid w:val="008E27A7"/>
    <w:rsid w:val="008E559A"/>
    <w:rsid w:val="008F5F72"/>
    <w:rsid w:val="0090004F"/>
    <w:rsid w:val="009005E5"/>
    <w:rsid w:val="009046DB"/>
    <w:rsid w:val="00924F7C"/>
    <w:rsid w:val="00930F59"/>
    <w:rsid w:val="00931FB2"/>
    <w:rsid w:val="009364E1"/>
    <w:rsid w:val="00941D75"/>
    <w:rsid w:val="0094321A"/>
    <w:rsid w:val="00943298"/>
    <w:rsid w:val="009435DB"/>
    <w:rsid w:val="009554FB"/>
    <w:rsid w:val="00955647"/>
    <w:rsid w:val="00955761"/>
    <w:rsid w:val="00960A5E"/>
    <w:rsid w:val="009712CE"/>
    <w:rsid w:val="009736B9"/>
    <w:rsid w:val="0098571F"/>
    <w:rsid w:val="00990090"/>
    <w:rsid w:val="00990BB3"/>
    <w:rsid w:val="00990E30"/>
    <w:rsid w:val="009A071D"/>
    <w:rsid w:val="009A0AE8"/>
    <w:rsid w:val="009A25A3"/>
    <w:rsid w:val="009A6A50"/>
    <w:rsid w:val="009B4500"/>
    <w:rsid w:val="009D2D49"/>
    <w:rsid w:val="009D3B63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32220"/>
    <w:rsid w:val="00A46427"/>
    <w:rsid w:val="00A5493E"/>
    <w:rsid w:val="00A5561A"/>
    <w:rsid w:val="00A566D6"/>
    <w:rsid w:val="00A56EF3"/>
    <w:rsid w:val="00A62D9B"/>
    <w:rsid w:val="00A65008"/>
    <w:rsid w:val="00A71A51"/>
    <w:rsid w:val="00A76BF5"/>
    <w:rsid w:val="00A95367"/>
    <w:rsid w:val="00A955E0"/>
    <w:rsid w:val="00A960DF"/>
    <w:rsid w:val="00AA08BE"/>
    <w:rsid w:val="00AA0F75"/>
    <w:rsid w:val="00AA5414"/>
    <w:rsid w:val="00AA6475"/>
    <w:rsid w:val="00AB6A46"/>
    <w:rsid w:val="00AC4D94"/>
    <w:rsid w:val="00AC69A8"/>
    <w:rsid w:val="00AD088D"/>
    <w:rsid w:val="00AD3370"/>
    <w:rsid w:val="00AE29B4"/>
    <w:rsid w:val="00AE532C"/>
    <w:rsid w:val="00AE6DBE"/>
    <w:rsid w:val="00AF40B8"/>
    <w:rsid w:val="00B028C4"/>
    <w:rsid w:val="00B03866"/>
    <w:rsid w:val="00B07680"/>
    <w:rsid w:val="00B12776"/>
    <w:rsid w:val="00B13DB6"/>
    <w:rsid w:val="00B15CD8"/>
    <w:rsid w:val="00B15FDE"/>
    <w:rsid w:val="00B1623D"/>
    <w:rsid w:val="00B21670"/>
    <w:rsid w:val="00B30DB3"/>
    <w:rsid w:val="00B34BE6"/>
    <w:rsid w:val="00B40AFF"/>
    <w:rsid w:val="00B4511D"/>
    <w:rsid w:val="00B52715"/>
    <w:rsid w:val="00B600D5"/>
    <w:rsid w:val="00B60634"/>
    <w:rsid w:val="00B72225"/>
    <w:rsid w:val="00B73ACE"/>
    <w:rsid w:val="00B73FD1"/>
    <w:rsid w:val="00B82D3D"/>
    <w:rsid w:val="00B85A2B"/>
    <w:rsid w:val="00B93F14"/>
    <w:rsid w:val="00B9708C"/>
    <w:rsid w:val="00BA117E"/>
    <w:rsid w:val="00BA2C36"/>
    <w:rsid w:val="00BB179A"/>
    <w:rsid w:val="00BB40CD"/>
    <w:rsid w:val="00BC3C7E"/>
    <w:rsid w:val="00BC3E9B"/>
    <w:rsid w:val="00BD04D6"/>
    <w:rsid w:val="00BD616E"/>
    <w:rsid w:val="00BE1819"/>
    <w:rsid w:val="00BE70D2"/>
    <w:rsid w:val="00BF49AF"/>
    <w:rsid w:val="00C0387B"/>
    <w:rsid w:val="00C115D3"/>
    <w:rsid w:val="00C15989"/>
    <w:rsid w:val="00C26B56"/>
    <w:rsid w:val="00C369AB"/>
    <w:rsid w:val="00C41386"/>
    <w:rsid w:val="00C41BF4"/>
    <w:rsid w:val="00C50FE8"/>
    <w:rsid w:val="00C6493E"/>
    <w:rsid w:val="00C77A72"/>
    <w:rsid w:val="00C77FFB"/>
    <w:rsid w:val="00C9337B"/>
    <w:rsid w:val="00CA144B"/>
    <w:rsid w:val="00CA321C"/>
    <w:rsid w:val="00CA5A4F"/>
    <w:rsid w:val="00CB35A6"/>
    <w:rsid w:val="00CB40D3"/>
    <w:rsid w:val="00CD37E1"/>
    <w:rsid w:val="00CD6E80"/>
    <w:rsid w:val="00CE19D6"/>
    <w:rsid w:val="00CE1FE6"/>
    <w:rsid w:val="00CE6857"/>
    <w:rsid w:val="00CE734A"/>
    <w:rsid w:val="00CF367E"/>
    <w:rsid w:val="00CF4F94"/>
    <w:rsid w:val="00D04ADD"/>
    <w:rsid w:val="00D1071E"/>
    <w:rsid w:val="00D11281"/>
    <w:rsid w:val="00D13E57"/>
    <w:rsid w:val="00D14BDC"/>
    <w:rsid w:val="00D15D67"/>
    <w:rsid w:val="00D25A81"/>
    <w:rsid w:val="00D32F9B"/>
    <w:rsid w:val="00D34C58"/>
    <w:rsid w:val="00D4254E"/>
    <w:rsid w:val="00D45EDB"/>
    <w:rsid w:val="00D4742F"/>
    <w:rsid w:val="00D50218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86337"/>
    <w:rsid w:val="00D91A58"/>
    <w:rsid w:val="00D93A6A"/>
    <w:rsid w:val="00D955E7"/>
    <w:rsid w:val="00DA69CE"/>
    <w:rsid w:val="00DB204F"/>
    <w:rsid w:val="00DC5FA7"/>
    <w:rsid w:val="00DC74D7"/>
    <w:rsid w:val="00DD3756"/>
    <w:rsid w:val="00DE39B0"/>
    <w:rsid w:val="00DE4ED9"/>
    <w:rsid w:val="00DF47B4"/>
    <w:rsid w:val="00E0048A"/>
    <w:rsid w:val="00E0367E"/>
    <w:rsid w:val="00E03987"/>
    <w:rsid w:val="00E05E88"/>
    <w:rsid w:val="00E10FA7"/>
    <w:rsid w:val="00E128E9"/>
    <w:rsid w:val="00E20952"/>
    <w:rsid w:val="00E22BA1"/>
    <w:rsid w:val="00E47977"/>
    <w:rsid w:val="00E5777C"/>
    <w:rsid w:val="00E613E6"/>
    <w:rsid w:val="00E722F2"/>
    <w:rsid w:val="00E73B36"/>
    <w:rsid w:val="00E77549"/>
    <w:rsid w:val="00E77F53"/>
    <w:rsid w:val="00E91D0F"/>
    <w:rsid w:val="00E97744"/>
    <w:rsid w:val="00E97DDE"/>
    <w:rsid w:val="00EA4BF2"/>
    <w:rsid w:val="00EB2870"/>
    <w:rsid w:val="00EB2D4B"/>
    <w:rsid w:val="00EB5313"/>
    <w:rsid w:val="00EC0D9C"/>
    <w:rsid w:val="00EC177D"/>
    <w:rsid w:val="00EC4B3B"/>
    <w:rsid w:val="00EC7FE8"/>
    <w:rsid w:val="00EE74C2"/>
    <w:rsid w:val="00EF1B66"/>
    <w:rsid w:val="00EF5C5D"/>
    <w:rsid w:val="00F0078F"/>
    <w:rsid w:val="00F0751F"/>
    <w:rsid w:val="00F15613"/>
    <w:rsid w:val="00F168CB"/>
    <w:rsid w:val="00F35FDD"/>
    <w:rsid w:val="00F417F4"/>
    <w:rsid w:val="00F41E20"/>
    <w:rsid w:val="00F45DC8"/>
    <w:rsid w:val="00F51EC4"/>
    <w:rsid w:val="00F536DB"/>
    <w:rsid w:val="00F65EAB"/>
    <w:rsid w:val="00F71A74"/>
    <w:rsid w:val="00F7253A"/>
    <w:rsid w:val="00F7362D"/>
    <w:rsid w:val="00F74A5A"/>
    <w:rsid w:val="00F81C25"/>
    <w:rsid w:val="00F83423"/>
    <w:rsid w:val="00F85E6C"/>
    <w:rsid w:val="00F923F6"/>
    <w:rsid w:val="00F92401"/>
    <w:rsid w:val="00F96EAE"/>
    <w:rsid w:val="00FA0DCC"/>
    <w:rsid w:val="00FA5E73"/>
    <w:rsid w:val="00FA7221"/>
    <w:rsid w:val="00FB0E7E"/>
    <w:rsid w:val="00FB21A4"/>
    <w:rsid w:val="00FC623F"/>
    <w:rsid w:val="00FD1FC4"/>
    <w:rsid w:val="00FE366D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32D4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6401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664017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782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47260C5AA1E4EA40E7B9FDBC8BC0E" ma:contentTypeVersion="10" ma:contentTypeDescription="Vytvoří nový dokument" ma:contentTypeScope="" ma:versionID="c95e3843ba4ecfed441377b672336e8f">
  <xsd:schema xmlns:xsd="http://www.w3.org/2001/XMLSchema" xmlns:xs="http://www.w3.org/2001/XMLSchema" xmlns:p="http://schemas.microsoft.com/office/2006/metadata/properties" xmlns:ns2="683b86a8-156b-4ad7-b6c0-5a3093d14aa9" xmlns:ns3="a1bad124-c8cd-4b78-a0a1-58a49a1a8d34" targetNamespace="http://schemas.microsoft.com/office/2006/metadata/properties" ma:root="true" ma:fieldsID="0306ff04052f87ca5c61bfad31f9beae" ns2:_="" ns3:_="">
    <xsd:import namespace="683b86a8-156b-4ad7-b6c0-5a3093d14aa9"/>
    <xsd:import namespace="a1bad124-c8cd-4b78-a0a1-58a49a1a8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b86a8-156b-4ad7-b6c0-5a3093d14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b359e2-fdae-41c7-a0a3-a8a599e03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ad124-c8cd-4b78-a0a1-58a49a1a8d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42e176-47bd-47b8-b9c4-d9470df8e1e1}" ma:internalName="TaxCatchAll" ma:showField="CatchAllData" ma:web="a1bad124-c8cd-4b78-a0a1-58a49a1a8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b86a8-156b-4ad7-b6c0-5a3093d14aa9">
      <Terms xmlns="http://schemas.microsoft.com/office/infopath/2007/PartnerControls"/>
    </lcf76f155ced4ddcb4097134ff3c332f>
    <TaxCatchAll xmlns="a1bad124-c8cd-4b78-a0a1-58a49a1a8d34" xsi:nil="true"/>
  </documentManagement>
</p:properties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687C8A-E814-4CCC-81B1-EBB692680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b86a8-156b-4ad7-b6c0-5a3093d14aa9"/>
    <ds:schemaRef ds:uri="a1bad124-c8cd-4b78-a0a1-58a49a1a8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23080-1C41-467E-A058-05ACD66C2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13B116-BF05-4A78-BE29-816E8B28AF26}">
  <ds:schemaRefs>
    <ds:schemaRef ds:uri="http://schemas.microsoft.com/office/2006/metadata/properties"/>
    <ds:schemaRef ds:uri="http://schemas.microsoft.com/office/infopath/2007/PartnerControls"/>
    <ds:schemaRef ds:uri="683b86a8-156b-4ad7-b6c0-5a3093d14aa9"/>
    <ds:schemaRef ds:uri="a1bad124-c8cd-4b78-a0a1-58a49a1a8d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1280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Zbyněk Pochmon</cp:lastModifiedBy>
  <cp:revision>181</cp:revision>
  <cp:lastPrinted>2014-08-08T09:54:00Z</cp:lastPrinted>
  <dcterms:created xsi:type="dcterms:W3CDTF">2026-01-16T17:30:00Z</dcterms:created>
  <dcterms:modified xsi:type="dcterms:W3CDTF">2026-04-16T12:55:00Z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0x0101004B847260C5AA1E4EA40E7B9FDBC8BC0E</vt:lpwstr>
  </property>
  <property fmtid="{D5CDD505-2E9C-101B-9397-08002B2CF9AE}" pid="3" name="MediaServiceImageTags">
    <vt:lpwstr/>
  </property>
</Properties>
</file>